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99" w:rsidRPr="00AE3699" w:rsidRDefault="00AE3699" w:rsidP="00AE3699">
      <w:pPr>
        <w:pStyle w:val="OZNPROJEKTUwskazaniedatylubwersjiprojektu"/>
        <w:rPr>
          <w:rFonts w:asciiTheme="minorHAnsi" w:hAnsiTheme="minorHAnsi"/>
        </w:rPr>
      </w:pPr>
      <w:bookmarkStart w:id="0" w:name="_GoBack"/>
      <w:bookmarkEnd w:id="0"/>
      <w:r w:rsidRPr="00AE3699">
        <w:rPr>
          <w:rFonts w:asciiTheme="minorHAnsi" w:hAnsiTheme="minorHAnsi"/>
        </w:rPr>
        <w:t>Projekt z dnia 6 kwietnia 2022 r.</w:t>
      </w:r>
    </w:p>
    <w:p w:rsidR="00AE3699" w:rsidRPr="00AE3699" w:rsidRDefault="00AE3699" w:rsidP="00AE3699">
      <w:pPr>
        <w:pStyle w:val="OZNRODZAKTUtznustawalubrozporzdzenieiorganwydajcy"/>
        <w:rPr>
          <w:rFonts w:asciiTheme="minorHAnsi" w:hAnsiTheme="minorHAnsi"/>
        </w:rPr>
      </w:pPr>
    </w:p>
    <w:p w:rsidR="00AE3699" w:rsidRPr="00AE3699" w:rsidRDefault="00AE3699" w:rsidP="00AE3699">
      <w:pPr>
        <w:pStyle w:val="OZNRODZAKTUtznustawalubrozporzdzenieiorganwydajcy"/>
        <w:rPr>
          <w:rFonts w:asciiTheme="minorHAnsi" w:hAnsiTheme="minorHAnsi"/>
        </w:rPr>
      </w:pPr>
      <w:r w:rsidRPr="00AE3699">
        <w:rPr>
          <w:rFonts w:asciiTheme="minorHAnsi" w:hAnsiTheme="minorHAnsi"/>
        </w:rPr>
        <w:t>USTAWA</w:t>
      </w:r>
    </w:p>
    <w:p w:rsidR="00AE3699" w:rsidRPr="00AE3699" w:rsidRDefault="00AE3699" w:rsidP="00AE3699">
      <w:pPr>
        <w:pStyle w:val="DATAAKTUdatauchwalenialubwydaniaaktu"/>
        <w:rPr>
          <w:rFonts w:asciiTheme="minorHAnsi" w:hAnsiTheme="minorHAnsi"/>
        </w:rPr>
      </w:pPr>
      <w:r w:rsidRPr="00AE3699">
        <w:rPr>
          <w:rFonts w:asciiTheme="minorHAnsi" w:hAnsiTheme="minorHAnsi"/>
        </w:rPr>
        <w:t>z dnia ….</w:t>
      </w:r>
    </w:p>
    <w:p w:rsidR="00AE3699" w:rsidRPr="00AE3699" w:rsidRDefault="00AE3699" w:rsidP="00AE3699">
      <w:pPr>
        <w:pStyle w:val="TYTUAKTUprzedmiotregulacjiustawylubrozporzdzenia"/>
        <w:rPr>
          <w:rFonts w:asciiTheme="minorHAnsi" w:hAnsiTheme="minorHAnsi"/>
        </w:rPr>
      </w:pPr>
      <w:r w:rsidRPr="00AE3699">
        <w:rPr>
          <w:rFonts w:asciiTheme="minorHAnsi" w:hAnsiTheme="minorHAnsi"/>
        </w:rPr>
        <w:t>o ochronie osób zgłaszających naruszenia prawa</w:t>
      </w:r>
      <w:r w:rsidRPr="00AE3699">
        <w:rPr>
          <w:rStyle w:val="IGindeksgrny"/>
          <w:rFonts w:asciiTheme="minorHAnsi" w:hAnsiTheme="minorHAnsi"/>
        </w:rPr>
        <w:footnoteReference w:id="1"/>
      </w:r>
      <w:r w:rsidRPr="00AE3699">
        <w:rPr>
          <w:rStyle w:val="IGindeksgrny"/>
          <w:rFonts w:asciiTheme="minorHAnsi" w:hAnsiTheme="minorHAnsi"/>
        </w:rPr>
        <w:t xml:space="preserve">), </w:t>
      </w:r>
      <w:r w:rsidRPr="00AE3699">
        <w:rPr>
          <w:rStyle w:val="IGindeksgrny"/>
          <w:rFonts w:asciiTheme="minorHAnsi" w:hAnsiTheme="minorHAnsi"/>
        </w:rPr>
        <w:footnoteReference w:id="2"/>
      </w:r>
      <w:r w:rsidRPr="00AE3699">
        <w:rPr>
          <w:rStyle w:val="IGindeksgrny"/>
          <w:rFonts w:asciiTheme="minorHAnsi" w:hAnsiTheme="minorHAnsi"/>
        </w:rPr>
        <w:t>)</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1</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Przepisy ogólne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w:t>
      </w:r>
      <w:r w:rsidRPr="00AE3699">
        <w:rPr>
          <w:rFonts w:asciiTheme="minorHAnsi" w:hAnsiTheme="minorHAnsi"/>
        </w:rPr>
        <w:t xml:space="preserve"> Ustawa reguluje: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warunki objęcia ochroną osób zgłaszających lub publicznie ujawniających informacje o naruszeniach prawa;</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środki ochrony osób zgłaszających lub publicznie ujawniających informacje o naruszeniach prawa;</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 xml:space="preserve">zasady ustalania wewnętrznej procedury zgłaszania naruszeń prawa i podejmowania działań następczych;  </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zasady zgłaszania naruszeń prawa Rzecznikowi Praw Obywatelskich albo organowi publicznemu;</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zasady publicznego ujawnienia naruszenia prawa;</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 xml:space="preserve">właściwość organów publicznych w sprawach zgłaszania naruszeń prawa i podejmowania działań następczych.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w:t>
      </w:r>
      <w:r w:rsidRPr="00AE3699">
        <w:rPr>
          <w:rFonts w:asciiTheme="minorHAnsi" w:hAnsiTheme="minorHAnsi"/>
        </w:rPr>
        <w:t xml:space="preserve"> Ilekroć w ustawie jest mowa o: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działaniu następczym – należy przez to rozumieć działanie podjęte przez podmiot prawny lub organ publiczny w celu oceny prawdziwości zarzutów zawartych w zgłoszeniu oraz, w stosownych przypadkach, w celu przeciwdziałania naruszeniu prawa będącemu przedmiotem zgłoszenia, w tym przez postępowanie wyjaśniające, wszczęcie kontroli lub postępowania administracyjnego, wniesienie oskarżenia, działanie podjęte w celu odzyskania środków finansowych lub zamknięcie wewnętrznej procedury zgłaszania </w:t>
      </w:r>
      <w:r w:rsidRPr="00AE3699">
        <w:rPr>
          <w:rFonts w:asciiTheme="minorHAnsi" w:hAnsiTheme="minorHAnsi"/>
        </w:rPr>
        <w:lastRenderedPageBreak/>
        <w:t xml:space="preserve">naruszeń prawa i podejmowania działań następczych lub procedury przyjmowania zgłoszeń zewnętrznych i podejmowania działań następczych;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działaniu odwetowym – należy przez to rozumieć bezpośrednie lub pośrednie działanie lub zaniechanie w kontekście związanym z pracą, które jest spowodowane zgłoszeniem lub ujawnieniem publicznym i które narusza lub może naruszyć prawa zgłaszającego lub wyrządza lub może wyrządzić nieuzasadnioną szkodę zgłaszającemu, w tym wszczynanie uciążliwych postępowań przeciwko zgłaszającemu;</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informacji o naruszeniu prawa – należy przez to rozumieć informację, w tym uzasadnione podejrzenie, dotyczące zaistniałego lub potencjalnego naruszenia prawa, do którego doszło lub prawdopodobnie dojdzie w organizacji, w której zgłaszający będzie pracował, pracuje lub pracował, lub w innej organizacji, z którą zgłaszający utrzymuje lub utrzymywał kontakt w kontekście związanym z pracą, lub informację dotyczącą próby ukrycia takiego naruszenia prawa;</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informacji zwrotnej – należy przez to rozumieć przekazanie zgłaszającemu informacji na temat planowanych lub podjętych działań następczych i powodów takich działań;</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 xml:space="preserve">kontekście związanym z pracą – należy przez to rozumieć obecne lub przyszłe działania związane z wykonywaniem pracy na podstawie stosunku pracy lub innego stosunku prawnego stanowiącego podstawę świadczenia pracy lub usług lub pełnienia funkcji w podmiocie prawnym lub na rzecz tego podmiotu, w ramach których uzyskano informację o naruszeniu prawa oraz istnieje możliwość doświadczenia działań odwetowych;   </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organie publicznym – należy przez to rozumieć naczelne i centralne organy administracji rządowej, organy państwowe z wyłączeniem Rzecznika Praw Obywatelskich, organy wykonawcze jednostek samorządu terytorialnego, regionalne izby obrachunkowe, Szefa Sztabu Generalnego Wojska Polskiego, Komendanta Głównego Straży Pożarnej oraz Urząd Komisji Nadzoru Finansowego;</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osobie, której dotyczy zgłoszenie – należy przez to rozumieć osobę fizyczną, osobę prawną lub jednostkę organizacyjną nieposiadającą osobowości prawnej, której ustawa przyznaje zdolność prawną, wskazaną w zgłoszeniu lub ujawnieniu publicznym jako osoba, która dopuściła się naruszenia prawa lub z którą osoba ta jest powiązana;</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8)</w:t>
      </w:r>
      <w:r w:rsidRPr="00AE3699">
        <w:rPr>
          <w:rFonts w:asciiTheme="minorHAnsi" w:hAnsiTheme="minorHAnsi"/>
        </w:rPr>
        <w:tab/>
        <w:t>osobie pomagającej w dokonaniu zgłoszenia – należy przez to rozumieć osobę fizyczną, która pomaga zgłaszającemu w zgłoszeniu lub ujawnieniu publicznym w kontekście związanym z pracą i której pomoc nie powinna zostać ujawniona;</w:t>
      </w:r>
    </w:p>
    <w:p w:rsidR="00AE3699" w:rsidRPr="00AE3699" w:rsidRDefault="00AE3699" w:rsidP="00AE3699">
      <w:pPr>
        <w:pStyle w:val="PKTpunkt"/>
        <w:rPr>
          <w:rFonts w:asciiTheme="minorHAnsi" w:hAnsiTheme="minorHAnsi"/>
        </w:rPr>
      </w:pPr>
      <w:r w:rsidRPr="00AE3699">
        <w:rPr>
          <w:rFonts w:asciiTheme="minorHAnsi" w:hAnsiTheme="minorHAnsi"/>
        </w:rPr>
        <w:t>9)</w:t>
      </w:r>
      <w:r w:rsidRPr="00AE3699">
        <w:rPr>
          <w:rFonts w:asciiTheme="minorHAnsi" w:hAnsiTheme="minorHAnsi"/>
        </w:rPr>
        <w:tab/>
        <w:t>osobie powiązanej ze zgłaszającym – należy przez to rozumieć osobę fizyczną, która może doświadczyć działań odwetowych w kontekście związanym z pracą, w tym współpracownika, członka rodziny zgłaszającego lub świadka;</w:t>
      </w:r>
    </w:p>
    <w:p w:rsidR="00AE3699" w:rsidRPr="00AE3699" w:rsidRDefault="00AE3699" w:rsidP="00AE3699">
      <w:pPr>
        <w:pStyle w:val="PKTpunkt"/>
        <w:rPr>
          <w:rFonts w:asciiTheme="minorHAnsi" w:hAnsiTheme="minorHAnsi"/>
        </w:rPr>
      </w:pPr>
      <w:r w:rsidRPr="00AE3699">
        <w:rPr>
          <w:rFonts w:asciiTheme="minorHAnsi" w:hAnsiTheme="minorHAnsi"/>
        </w:rPr>
        <w:t>10)</w:t>
      </w:r>
      <w:r w:rsidRPr="00AE3699">
        <w:rPr>
          <w:rFonts w:asciiTheme="minorHAnsi" w:hAnsiTheme="minorHAnsi"/>
        </w:rPr>
        <w:tab/>
        <w:t>podmiocie prawnym – należy przez to rozumieć podmiot prywatny lub podmiot publiczny;</w:t>
      </w:r>
    </w:p>
    <w:p w:rsidR="00AE3699" w:rsidRPr="00AE3699" w:rsidRDefault="00AE3699" w:rsidP="00AE3699">
      <w:pPr>
        <w:pStyle w:val="PKTpunkt"/>
        <w:rPr>
          <w:rFonts w:asciiTheme="minorHAnsi" w:hAnsiTheme="minorHAnsi"/>
        </w:rPr>
      </w:pPr>
      <w:r w:rsidRPr="00AE3699">
        <w:rPr>
          <w:rFonts w:asciiTheme="minorHAnsi" w:hAnsiTheme="minorHAnsi"/>
        </w:rPr>
        <w:t>11)</w:t>
      </w:r>
      <w:r w:rsidRPr="00AE3699">
        <w:rPr>
          <w:rFonts w:asciiTheme="minorHAnsi" w:hAnsiTheme="minorHAnsi"/>
        </w:rPr>
        <w:tab/>
        <w:t>podmiocie prywatnym – należy przez to rozumieć osobę fizyczną prowadzącą działalność gospodarczą, osobę prawną lub jednostkę organizacyjną nieposiadającą osobowości prawnej, której ustawa przyznaje zdolność prawną lub pracodawcę, jeżeli nie są podmiotami publicznymi;</w:t>
      </w:r>
    </w:p>
    <w:p w:rsidR="00AE3699" w:rsidRPr="00AE3699" w:rsidRDefault="00AE3699" w:rsidP="00AE3699">
      <w:pPr>
        <w:pStyle w:val="PKTpunkt"/>
        <w:rPr>
          <w:rFonts w:asciiTheme="minorHAnsi" w:hAnsiTheme="minorHAnsi"/>
        </w:rPr>
      </w:pPr>
      <w:r w:rsidRPr="00AE3699">
        <w:rPr>
          <w:rFonts w:asciiTheme="minorHAnsi" w:hAnsiTheme="minorHAnsi"/>
        </w:rPr>
        <w:t>12)</w:t>
      </w:r>
      <w:r w:rsidRPr="00AE3699">
        <w:rPr>
          <w:rFonts w:asciiTheme="minorHAnsi" w:hAnsiTheme="minorHAnsi"/>
        </w:rPr>
        <w:tab/>
        <w:t>podmiocie publicznym – należy przez to rozumieć podmiot wskazany w art. 3 ustawy z dnia 11 sierpnia 2021 r. o otwartych danych i ponownym wykorzystywaniu informacji sektora publicznego (Dz. U. poz. 1641);</w:t>
      </w:r>
    </w:p>
    <w:p w:rsidR="00AE3699" w:rsidRPr="00AE3699" w:rsidRDefault="00AE3699" w:rsidP="00AE3699">
      <w:pPr>
        <w:pStyle w:val="PKTpunkt"/>
        <w:rPr>
          <w:rFonts w:asciiTheme="minorHAnsi" w:hAnsiTheme="minorHAnsi"/>
        </w:rPr>
      </w:pPr>
      <w:r w:rsidRPr="00AE3699">
        <w:rPr>
          <w:rFonts w:asciiTheme="minorHAnsi" w:hAnsiTheme="minorHAnsi"/>
        </w:rPr>
        <w:t>13)</w:t>
      </w:r>
      <w:r w:rsidRPr="00AE3699">
        <w:rPr>
          <w:rFonts w:asciiTheme="minorHAnsi" w:hAnsiTheme="minorHAnsi"/>
        </w:rPr>
        <w:tab/>
        <w:t>ujawnieniu publicznym – należy przez to rozumieć podanie informacji o naruszeniu prawa do wiadomości publicznej;</w:t>
      </w:r>
    </w:p>
    <w:p w:rsidR="00AE3699" w:rsidRPr="00AE3699" w:rsidRDefault="00AE3699" w:rsidP="00AE3699">
      <w:pPr>
        <w:pStyle w:val="PKTpunkt"/>
        <w:rPr>
          <w:rFonts w:asciiTheme="minorHAnsi" w:hAnsiTheme="minorHAnsi"/>
        </w:rPr>
      </w:pPr>
      <w:bookmarkStart w:id="1" w:name="highlightHit_2"/>
      <w:bookmarkStart w:id="2" w:name="highlightHit_3"/>
      <w:bookmarkEnd w:id="1"/>
      <w:bookmarkEnd w:id="2"/>
      <w:r w:rsidRPr="00AE3699">
        <w:rPr>
          <w:rFonts w:asciiTheme="minorHAnsi" w:hAnsiTheme="minorHAnsi"/>
        </w:rPr>
        <w:t>14)</w:t>
      </w:r>
      <w:r w:rsidRPr="00AE3699">
        <w:rPr>
          <w:rFonts w:asciiTheme="minorHAnsi" w:hAnsiTheme="minorHAnsi"/>
        </w:rPr>
        <w:tab/>
        <w:t xml:space="preserve">zgłoszeniu – należy przez to rozumieć ustne lub dokonane w postaci papierowej lub elektronicznej zgłoszenie wewnętrzne lub zgłoszenie zewnętrzne, przekazane zgodnie z wymogami określonymi odpowiednio w rozdziale 3 lub 4; </w:t>
      </w:r>
    </w:p>
    <w:p w:rsidR="00AE3699" w:rsidRPr="00AE3699" w:rsidRDefault="00AE3699" w:rsidP="00AE3699">
      <w:pPr>
        <w:pStyle w:val="PKTpunkt"/>
        <w:rPr>
          <w:rFonts w:asciiTheme="minorHAnsi" w:hAnsiTheme="minorHAnsi"/>
        </w:rPr>
      </w:pPr>
      <w:r w:rsidRPr="00AE3699">
        <w:rPr>
          <w:rFonts w:asciiTheme="minorHAnsi" w:hAnsiTheme="minorHAnsi"/>
        </w:rPr>
        <w:t>15)</w:t>
      </w:r>
      <w:r w:rsidRPr="00AE3699">
        <w:rPr>
          <w:rFonts w:asciiTheme="minorHAnsi" w:hAnsiTheme="minorHAnsi"/>
        </w:rPr>
        <w:tab/>
        <w:t>zgłoszeniu wewnętrznym – należy przez to rozumieć ustne lub dokonane w postaci papierowej lub elektronicznej przekazanie informacji o naruszeniu prawa podmiotowi prawnemu;</w:t>
      </w:r>
    </w:p>
    <w:p w:rsidR="00AE3699" w:rsidRPr="00AE3699" w:rsidRDefault="00AE3699" w:rsidP="00AE3699">
      <w:pPr>
        <w:pStyle w:val="PKTpunkt"/>
        <w:rPr>
          <w:rFonts w:asciiTheme="minorHAnsi" w:hAnsiTheme="minorHAnsi"/>
        </w:rPr>
      </w:pPr>
      <w:r w:rsidRPr="00AE3699">
        <w:rPr>
          <w:rFonts w:asciiTheme="minorHAnsi" w:hAnsiTheme="minorHAnsi"/>
        </w:rPr>
        <w:t>16)</w:t>
      </w:r>
      <w:r w:rsidRPr="00AE3699">
        <w:rPr>
          <w:rFonts w:asciiTheme="minorHAnsi" w:hAnsiTheme="minorHAnsi"/>
        </w:rPr>
        <w:tab/>
        <w:t xml:space="preserve">zgłoszeniu zewnętrznym – należy przez to rozumieć ustne lub dokonane w postaci papierowej lub elektronicznej przekazanie informacji o naruszeniu prawa Rzecznikowi Praw Obywatelskich albo organowi publicznemu; </w:t>
      </w:r>
    </w:p>
    <w:p w:rsidR="00AE3699" w:rsidRPr="00AE3699" w:rsidRDefault="00AE3699" w:rsidP="00AE3699">
      <w:pPr>
        <w:pStyle w:val="PKTpunkt"/>
        <w:rPr>
          <w:rFonts w:asciiTheme="minorHAnsi" w:hAnsiTheme="minorHAnsi"/>
        </w:rPr>
      </w:pPr>
      <w:r w:rsidRPr="00AE3699">
        <w:rPr>
          <w:rFonts w:asciiTheme="minorHAnsi" w:hAnsiTheme="minorHAnsi"/>
        </w:rPr>
        <w:t>17)</w:t>
      </w:r>
      <w:r w:rsidRPr="00AE3699">
        <w:rPr>
          <w:rFonts w:asciiTheme="minorHAnsi" w:hAnsiTheme="minorHAnsi"/>
        </w:rPr>
        <w:tab/>
        <w:t>postępowaniu prawnym – rozumie się przez to postępowanie toczące się na podstawie przepisów prawa powszechnie obowiązującego lub regulacji wewnętrznych wydanych w wykonaniu przepisów prawa powszechnie obowiązującego, w szczególności: karne, cywilne, dyscyplinarne, antymobbingowe, o naruszenie dyscypliny finansów publicznych.</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3.</w:t>
      </w:r>
      <w:r w:rsidRPr="00AE3699">
        <w:rPr>
          <w:rFonts w:asciiTheme="minorHAnsi" w:hAnsiTheme="minorHAnsi"/>
        </w:rPr>
        <w:t xml:space="preserve"> 1. Naruszeniem prawa jest działanie lub zaniechanie niezgodne z prawem lub mające na celu obejście prawa dotyczące: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zamówień publicznych;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usług, produktów i rynków finansowych;</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przeciwdziałania praniu pieniędzy oraz finansowaniu terroryzmu;</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bezpieczeństwa produktów i ich zgodności z wymogami;</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bezpieczeństwa transportu;</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ochrony środowiska;</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ochrony radiologicznej i bezpieczeństwa jądrowego;</w:t>
      </w:r>
    </w:p>
    <w:p w:rsidR="00AE3699" w:rsidRPr="00AE3699" w:rsidRDefault="00AE3699" w:rsidP="00AE3699">
      <w:pPr>
        <w:pStyle w:val="PKTpunkt"/>
        <w:rPr>
          <w:rFonts w:asciiTheme="minorHAnsi" w:hAnsiTheme="minorHAnsi"/>
        </w:rPr>
      </w:pPr>
      <w:r w:rsidRPr="00AE3699">
        <w:rPr>
          <w:rFonts w:asciiTheme="minorHAnsi" w:hAnsiTheme="minorHAnsi"/>
        </w:rPr>
        <w:t>8)</w:t>
      </w:r>
      <w:r w:rsidRPr="00AE3699">
        <w:rPr>
          <w:rFonts w:asciiTheme="minorHAnsi" w:hAnsiTheme="minorHAnsi"/>
        </w:rPr>
        <w:tab/>
        <w:t>bezpieczeństwa żywności i pasz;</w:t>
      </w:r>
    </w:p>
    <w:p w:rsidR="00AE3699" w:rsidRPr="00AE3699" w:rsidRDefault="00AE3699" w:rsidP="00AE3699">
      <w:pPr>
        <w:pStyle w:val="PKTpunkt"/>
        <w:rPr>
          <w:rFonts w:asciiTheme="minorHAnsi" w:hAnsiTheme="minorHAnsi"/>
        </w:rPr>
      </w:pPr>
      <w:r w:rsidRPr="00AE3699">
        <w:rPr>
          <w:rFonts w:asciiTheme="minorHAnsi" w:hAnsiTheme="minorHAnsi"/>
        </w:rPr>
        <w:t>9)</w:t>
      </w:r>
      <w:r w:rsidRPr="00AE3699">
        <w:rPr>
          <w:rFonts w:asciiTheme="minorHAnsi" w:hAnsiTheme="minorHAnsi"/>
        </w:rPr>
        <w:tab/>
        <w:t>zdrowia i dobrostanu zwierząt;</w:t>
      </w:r>
    </w:p>
    <w:p w:rsidR="00AE3699" w:rsidRPr="00AE3699" w:rsidRDefault="00AE3699" w:rsidP="00AE3699">
      <w:pPr>
        <w:pStyle w:val="PKTpunkt"/>
        <w:rPr>
          <w:rFonts w:asciiTheme="minorHAnsi" w:hAnsiTheme="minorHAnsi"/>
        </w:rPr>
      </w:pPr>
      <w:r w:rsidRPr="00AE3699">
        <w:rPr>
          <w:rFonts w:asciiTheme="minorHAnsi" w:hAnsiTheme="minorHAnsi"/>
        </w:rPr>
        <w:t>10)</w:t>
      </w:r>
      <w:r w:rsidRPr="00AE3699">
        <w:rPr>
          <w:rFonts w:asciiTheme="minorHAnsi" w:hAnsiTheme="minorHAnsi"/>
        </w:rPr>
        <w:tab/>
        <w:t>zdrowia publicznego;</w:t>
      </w:r>
    </w:p>
    <w:p w:rsidR="00AE3699" w:rsidRPr="00AE3699" w:rsidRDefault="00AE3699" w:rsidP="00AE3699">
      <w:pPr>
        <w:pStyle w:val="PKTpunkt"/>
        <w:rPr>
          <w:rFonts w:asciiTheme="minorHAnsi" w:hAnsiTheme="minorHAnsi"/>
        </w:rPr>
      </w:pPr>
      <w:r w:rsidRPr="00AE3699">
        <w:rPr>
          <w:rFonts w:asciiTheme="minorHAnsi" w:hAnsiTheme="minorHAnsi"/>
        </w:rPr>
        <w:t>11)</w:t>
      </w:r>
      <w:r w:rsidRPr="00AE3699">
        <w:rPr>
          <w:rFonts w:asciiTheme="minorHAnsi" w:hAnsiTheme="minorHAnsi"/>
        </w:rPr>
        <w:tab/>
        <w:t>ochrony konsumentów;</w:t>
      </w:r>
    </w:p>
    <w:p w:rsidR="00AE3699" w:rsidRPr="00AE3699" w:rsidRDefault="00AE3699" w:rsidP="00AE3699">
      <w:pPr>
        <w:pStyle w:val="PKTpunkt"/>
        <w:rPr>
          <w:rFonts w:asciiTheme="minorHAnsi" w:hAnsiTheme="minorHAnsi"/>
        </w:rPr>
      </w:pPr>
      <w:r w:rsidRPr="00AE3699">
        <w:rPr>
          <w:rFonts w:asciiTheme="minorHAnsi" w:hAnsiTheme="minorHAnsi"/>
        </w:rPr>
        <w:t>12)</w:t>
      </w:r>
      <w:r w:rsidRPr="00AE3699">
        <w:rPr>
          <w:rFonts w:asciiTheme="minorHAnsi" w:hAnsiTheme="minorHAnsi"/>
        </w:rPr>
        <w:tab/>
        <w:t>ochrony prywatności i danych osobowych;</w:t>
      </w:r>
    </w:p>
    <w:p w:rsidR="00AE3699" w:rsidRPr="00AE3699" w:rsidRDefault="00AE3699" w:rsidP="00AE3699">
      <w:pPr>
        <w:pStyle w:val="PKTpunkt"/>
        <w:rPr>
          <w:rFonts w:asciiTheme="minorHAnsi" w:hAnsiTheme="minorHAnsi"/>
        </w:rPr>
      </w:pPr>
      <w:r w:rsidRPr="00AE3699">
        <w:rPr>
          <w:rFonts w:asciiTheme="minorHAnsi" w:hAnsiTheme="minorHAnsi"/>
        </w:rPr>
        <w:t>13)</w:t>
      </w:r>
      <w:r w:rsidRPr="00AE3699">
        <w:rPr>
          <w:rFonts w:asciiTheme="minorHAnsi" w:hAnsiTheme="minorHAnsi"/>
        </w:rPr>
        <w:tab/>
        <w:t>bezpieczeństwa sieci i systemów teleinformatycznych;</w:t>
      </w:r>
    </w:p>
    <w:p w:rsidR="00AE3699" w:rsidRPr="00AE3699" w:rsidRDefault="00AE3699" w:rsidP="00AE3699">
      <w:pPr>
        <w:pStyle w:val="PKTpunkt"/>
        <w:rPr>
          <w:rFonts w:asciiTheme="minorHAnsi" w:hAnsiTheme="minorHAnsi"/>
        </w:rPr>
      </w:pPr>
      <w:r w:rsidRPr="00AE3699">
        <w:rPr>
          <w:rFonts w:asciiTheme="minorHAnsi" w:hAnsiTheme="minorHAnsi"/>
        </w:rPr>
        <w:t>14)</w:t>
      </w:r>
      <w:r w:rsidRPr="00AE3699">
        <w:rPr>
          <w:rFonts w:asciiTheme="minorHAnsi" w:hAnsiTheme="minorHAnsi"/>
        </w:rPr>
        <w:tab/>
        <w:t>interesów finansowych skarbu państwa Rzeczypospolitej Polskiej oraz Unii Europejskiej;</w:t>
      </w:r>
    </w:p>
    <w:p w:rsidR="00AE3699" w:rsidRPr="00AE3699" w:rsidRDefault="00AE3699" w:rsidP="00AE3699">
      <w:pPr>
        <w:pStyle w:val="PKTpunkt"/>
        <w:rPr>
          <w:rFonts w:asciiTheme="minorHAnsi" w:hAnsiTheme="minorHAnsi"/>
        </w:rPr>
      </w:pPr>
      <w:r w:rsidRPr="00AE3699">
        <w:rPr>
          <w:rFonts w:asciiTheme="minorHAnsi" w:hAnsiTheme="minorHAnsi"/>
        </w:rPr>
        <w:t>15)</w:t>
      </w:r>
      <w:r w:rsidRPr="00AE3699">
        <w:rPr>
          <w:rFonts w:asciiTheme="minorHAnsi" w:hAnsiTheme="minorHAnsi"/>
        </w:rPr>
        <w:tab/>
        <w:t>rynku wewnętrznego Unii Europejskiej, w tym unijnych zasad konkurencji i pomocy państwa oraz opodatkowania osób prawnych.</w:t>
      </w:r>
    </w:p>
    <w:p w:rsidR="00AE3699" w:rsidRPr="00AE3699" w:rsidRDefault="00AE3699" w:rsidP="00AE3699">
      <w:pPr>
        <w:pStyle w:val="USTustnpkodeksu"/>
        <w:rPr>
          <w:rFonts w:asciiTheme="minorHAnsi" w:hAnsiTheme="minorHAnsi"/>
        </w:rPr>
      </w:pPr>
      <w:r w:rsidRPr="00AE3699">
        <w:rPr>
          <w:rFonts w:asciiTheme="minorHAnsi" w:hAnsiTheme="minorHAnsi"/>
        </w:rPr>
        <w:t>2. Podmiot prawny może dodatkowo ustanowić zgłaszanie naruszeń dotyczących obowiązujących w tym podmiocie prawnym regulacji wewnętrznych lub standardów etycznych. W takim przypadku nie stosuje się przepisów rozdziału 4 i 5.</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w:t>
      </w:r>
      <w:r w:rsidRPr="00AE3699">
        <w:rPr>
          <w:rFonts w:asciiTheme="minorHAnsi" w:hAnsiTheme="minorHAnsi"/>
        </w:rPr>
        <w:t xml:space="preserve"> 1. Ustawę stosuje się do osoby fizycznej, która zgłasza lub ujawnia publicznie informację o naruszeniu prawa uzyskaną w kontekście związanym z pracą, w tym do:</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pracownika,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pracownika tymczasowego,</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osoby świadczącej pracę na innej podstawie niż stosunek pracy, w tym na podstawie umowy cywilnoprawnej,</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przedsiębiorcy,</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 xml:space="preserve">akcjonariusza lub wspólnika, </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członka organu osoby prawnej,</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7)</w:t>
      </w:r>
      <w:r w:rsidRPr="00AE3699">
        <w:rPr>
          <w:rFonts w:asciiTheme="minorHAnsi" w:hAnsiTheme="minorHAnsi"/>
        </w:rPr>
        <w:tab/>
        <w:t>osoby świadczącej pracę pod nadzorem i kierownictwem wykonawcy, podwykonawcy lub dostawcy, w tym na podstawie umowy cywilnoprawnej,</w:t>
      </w:r>
    </w:p>
    <w:p w:rsidR="00AE3699" w:rsidRPr="00AE3699" w:rsidRDefault="00AE3699" w:rsidP="00AE3699">
      <w:pPr>
        <w:pStyle w:val="PKTpunkt"/>
        <w:rPr>
          <w:rFonts w:asciiTheme="minorHAnsi" w:hAnsiTheme="minorHAnsi"/>
        </w:rPr>
      </w:pPr>
      <w:r w:rsidRPr="00AE3699">
        <w:rPr>
          <w:rFonts w:asciiTheme="minorHAnsi" w:hAnsiTheme="minorHAnsi"/>
        </w:rPr>
        <w:t>8)</w:t>
      </w:r>
      <w:r w:rsidRPr="00AE3699">
        <w:rPr>
          <w:rFonts w:asciiTheme="minorHAnsi" w:hAnsiTheme="minorHAnsi"/>
        </w:rPr>
        <w:tab/>
        <w:t xml:space="preserve">stażysty, </w:t>
      </w:r>
    </w:p>
    <w:p w:rsidR="00AE3699" w:rsidRPr="00AE3699" w:rsidRDefault="00AE3699" w:rsidP="00AE3699">
      <w:pPr>
        <w:pStyle w:val="PKTpunkt"/>
        <w:rPr>
          <w:rFonts w:asciiTheme="minorHAnsi" w:hAnsiTheme="minorHAnsi"/>
        </w:rPr>
      </w:pPr>
      <w:r w:rsidRPr="00AE3699">
        <w:rPr>
          <w:rFonts w:asciiTheme="minorHAnsi" w:hAnsiTheme="minorHAnsi"/>
        </w:rPr>
        <w:t>9)</w:t>
      </w:r>
      <w:r w:rsidRPr="00AE3699">
        <w:rPr>
          <w:rFonts w:asciiTheme="minorHAnsi" w:hAnsiTheme="minorHAnsi"/>
        </w:rPr>
        <w:tab/>
        <w:t xml:space="preserve">wolontariusza, </w:t>
      </w:r>
    </w:p>
    <w:p w:rsidR="00AE3699" w:rsidRPr="00AE3699" w:rsidRDefault="00AE3699" w:rsidP="00AE3699">
      <w:pPr>
        <w:pStyle w:val="PKTpunkt"/>
        <w:rPr>
          <w:rFonts w:asciiTheme="minorHAnsi" w:hAnsiTheme="minorHAnsi"/>
        </w:rPr>
      </w:pPr>
      <w:r w:rsidRPr="00AE3699">
        <w:rPr>
          <w:rFonts w:asciiTheme="minorHAnsi" w:hAnsiTheme="minorHAnsi"/>
        </w:rPr>
        <w:t>10)</w:t>
      </w:r>
      <w:r w:rsidRPr="00AE3699">
        <w:rPr>
          <w:rFonts w:asciiTheme="minorHAnsi" w:hAnsiTheme="minorHAnsi"/>
        </w:rPr>
        <w:tab/>
        <w:t xml:space="preserve">praktykanta, </w:t>
      </w:r>
    </w:p>
    <w:p w:rsidR="00AE3699" w:rsidRPr="00AE3699" w:rsidRDefault="00AE3699" w:rsidP="00AE3699">
      <w:pPr>
        <w:pStyle w:val="PKTpunkt"/>
        <w:rPr>
          <w:rFonts w:asciiTheme="minorHAnsi" w:hAnsiTheme="minorHAnsi"/>
        </w:rPr>
      </w:pPr>
      <w:r w:rsidRPr="00AE3699">
        <w:rPr>
          <w:rFonts w:asciiTheme="minorHAnsi" w:hAnsiTheme="minorHAnsi"/>
        </w:rPr>
        <w:t>11)</w:t>
      </w:r>
      <w:r w:rsidRPr="00AE3699">
        <w:rPr>
          <w:rFonts w:asciiTheme="minorHAnsi" w:hAnsiTheme="minorHAnsi"/>
        </w:rPr>
        <w:tab/>
        <w:t>funkcjonariusza, w rozumieniu art. 1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2020 r. poz. 723 i 2320 oraz z 2021 r. poz. 2333, 2448 i 2490),</w:t>
      </w:r>
    </w:p>
    <w:p w:rsidR="00AE3699" w:rsidRPr="00AE3699" w:rsidRDefault="00AE3699" w:rsidP="00AE3699">
      <w:pPr>
        <w:pStyle w:val="PKTpunkt"/>
        <w:rPr>
          <w:rFonts w:asciiTheme="minorHAnsi" w:hAnsiTheme="minorHAnsi"/>
        </w:rPr>
      </w:pPr>
      <w:r w:rsidRPr="00AE3699">
        <w:rPr>
          <w:rFonts w:asciiTheme="minorHAnsi" w:hAnsiTheme="minorHAnsi"/>
        </w:rPr>
        <w:t>12)</w:t>
      </w:r>
      <w:r w:rsidRPr="00AE3699">
        <w:rPr>
          <w:rFonts w:asciiTheme="minorHAnsi" w:hAnsiTheme="minorHAnsi"/>
        </w:rPr>
        <w:tab/>
        <w:t xml:space="preserve">żołnierza zawodowego </w:t>
      </w:r>
    </w:p>
    <w:p w:rsidR="00AE3699" w:rsidRPr="00AE3699" w:rsidRDefault="00AE3699" w:rsidP="00AE3699">
      <w:pPr>
        <w:pStyle w:val="CZWSPPKTczwsplnapunktw"/>
        <w:rPr>
          <w:rFonts w:asciiTheme="minorHAnsi" w:hAnsiTheme="minorHAnsi"/>
        </w:rPr>
      </w:pPr>
      <w:r w:rsidRPr="00AE3699">
        <w:rPr>
          <w:rFonts w:asciiTheme="minorHAnsi" w:hAnsiTheme="minorHAnsi"/>
        </w:rPr>
        <w:t>– zwanej dalej „zgłaszającym”.</w:t>
      </w:r>
    </w:p>
    <w:p w:rsidR="00AE3699" w:rsidRPr="00AE3699" w:rsidRDefault="00AE3699" w:rsidP="00AE3699">
      <w:pPr>
        <w:pStyle w:val="USTustnpkodeksu"/>
        <w:rPr>
          <w:rFonts w:asciiTheme="minorHAnsi" w:hAnsiTheme="minorHAnsi"/>
        </w:rPr>
      </w:pPr>
      <w:r w:rsidRPr="00AE3699">
        <w:rPr>
          <w:rFonts w:asciiTheme="minorHAnsi" w:hAnsiTheme="minorHAnsi"/>
        </w:rPr>
        <w:t>2. Ustawę stosuje się także do osoby fizycznej, o której mowa w ust. 1, w przypadku zgłoszenia lub ujawnienia publicznego informacji o naruszeniu prawa uzyskanej w kontekście związanym z pracą, przed nawiązaniem stosunku pracy lub innego stosunku prawnego stanowiącego podstawę świadczenia pracy lub usług lub pełnienia funkcji albo dostarczania towarów, lub gdy taki stosunek już ustał.</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w:t>
      </w:r>
      <w:r w:rsidRPr="00AE3699">
        <w:rPr>
          <w:rFonts w:asciiTheme="minorHAnsi" w:hAnsiTheme="minorHAnsi"/>
        </w:rPr>
        <w:t xml:space="preserve"> 1. Przepisów ustawy nie stosuje się do informacji objętych:</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przepisami o ochronie informacji niejawnych;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tajemnicą związaną z wykonywaniem zawodów medycznych oraz prawniczych;</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tajemnicą narady sędziowskiej;</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postępowaniem karnym – w zakresie tajemnicy rozprawy postępowania przygotowawczego oraz tajemnicy rozprawy sądowej prowadzonej z wyłączeniem jawności.</w:t>
      </w:r>
    </w:p>
    <w:p w:rsidR="00AE3699" w:rsidRPr="00AE3699" w:rsidRDefault="00AE3699" w:rsidP="00AE3699">
      <w:pPr>
        <w:pStyle w:val="USTustnpkodeksu"/>
        <w:rPr>
          <w:rFonts w:asciiTheme="minorHAnsi" w:hAnsiTheme="minorHAnsi"/>
        </w:rPr>
      </w:pPr>
      <w:r w:rsidRPr="00AE3699">
        <w:rPr>
          <w:rFonts w:asciiTheme="minorHAnsi" w:hAnsiTheme="minorHAnsi"/>
        </w:rPr>
        <w:t>2. Przepisów ustawy nie stosuje się do naruszeń prawa w zakresie zamówień publicznych w dziedzinach obronności i bezpieczeństwa w rozumieniu art. 7 pkt 36 ustawy z dnia 11 września 2019 r. – Prawo zamówień publicznych (Dz. U. z 2021 r. poz. 1129, 1598, 2054 i 2269 oraz z 2022 r. poz. 25), do których nie stosuje się przepisów tej ustawy.</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6.</w:t>
      </w:r>
      <w:r w:rsidRPr="00AE3699">
        <w:rPr>
          <w:rFonts w:asciiTheme="minorHAnsi" w:hAnsiTheme="minorHAnsi"/>
        </w:rPr>
        <w:t xml:space="preserve"> Zgłaszający podlega ochronie określonej w przepisach rozdziału 2, pod warunkiem że miał uzasadnione podstawy sądzić, że będąca przedmiotem zgłoszenia lub ujawnienia publicznego informacja jest prawdziwa w momencie dokonywania zgłoszenia lub ujawnienia publicznego i że informacja taka stanowi informację o naruszeniu prawa. </w:t>
      </w:r>
    </w:p>
    <w:p w:rsidR="00AE3699" w:rsidRPr="00AE3699" w:rsidRDefault="00AE3699" w:rsidP="00AE3699">
      <w:pPr>
        <w:pStyle w:val="ARTartustawynprozporzdzenia"/>
        <w:rPr>
          <w:rStyle w:val="Ppogrubienie"/>
          <w:rFonts w:asciiTheme="minorHAnsi" w:hAnsiTheme="minorHAnsi" w:cstheme="minorBidi"/>
          <w:bCs/>
          <w:sz w:val="22"/>
          <w:szCs w:val="22"/>
        </w:rPr>
      </w:pPr>
      <w:r w:rsidRPr="00AE3699">
        <w:rPr>
          <w:rStyle w:val="Ppogrubienie"/>
          <w:rFonts w:asciiTheme="minorHAnsi" w:hAnsiTheme="minorHAnsi"/>
        </w:rPr>
        <w:t>Art. 7.</w:t>
      </w:r>
      <w:r w:rsidRPr="00AE3699">
        <w:rPr>
          <w:rFonts w:asciiTheme="minorHAnsi" w:hAnsiTheme="minorHAnsi"/>
        </w:rPr>
        <w:t xml:space="preserve"> Jeżeli informacja o naruszeniu prawa została anonimowo zgłoszona podmiotowi prawnemu, Rzecznikowi Praw Obywatelskich lub organowi publicznemu lub ujawniona publicznie, a następnie doszło do ujawnienia tożsamości zgłaszającego i doświadczył on działań odwetowych, przepisy rozdziału 2 stosuje się, jeżeli spełnione zostały warunki określone w art. 6.</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8.</w:t>
      </w:r>
      <w:r w:rsidRPr="00AE3699">
        <w:rPr>
          <w:rFonts w:asciiTheme="minorHAnsi" w:hAnsiTheme="minorHAnsi"/>
        </w:rPr>
        <w:t xml:space="preserve"> 1. Dane osobowe zgłaszającego pozwalające na ustalenie jego tożsamości oraz inne informacje, na podstawie których można bezpośrednio lub pośrednio zidentyfikować tożsamość zgłaszającego nie podlegają ujawnieniu, chyba że zgłaszający wskaże inaczej.</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Przepisu ust. 1 nie stosuje się w przypadku, w którym ujawnienie jest koniecznym i proporcjonalnym obowiązkiem wynikającym z przepisów prawa w kontekście prowadzonych przez organy publiczne lub inne organy odpowiednio postępowań wyjaśniających lub postępowań sądowych, w tym w celu zagwarantowania prawa do obrony przysługującego osobie, której dotyczy zgłoszenie.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Przed dokonaniem ujawnienia, o którym mowa w ust. 2, właściwy organ publiczny lub inny organ powiadamia o tym zgłaszającego, przesyłając w postaci papierowej lub elektronicznej wyjaśnienie powodów ujawnienia jego danych osobowych, chyba że takie powiadomienie zagrozi postępowaniu wyjaśniającemu lub postępowaniu sądowemu.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Podmiot prawny, Rzecznik Praw Obywatelskich lub organ publiczny, po otrzymaniu zgłoszenia, zbiera i przetwarza dane osobowe osoby, w zakresie niezbędnym do realizacji celów ustawy. Dane osobowe, które nie mają znaczenia dla rozpatrywania zgłoszenia, nie są zbierane, a w razie przypadkowego zebrania, są niezwłocznie usuwane.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5. Przepisu art. 14 ust. 2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E3699">
        <w:rPr>
          <w:rFonts w:asciiTheme="minorHAnsi" w:hAnsiTheme="minorHAnsi"/>
        </w:rPr>
        <w:lastRenderedPageBreak/>
        <w:t>z 04.05.2016, str. 1, z późn. zm.</w:t>
      </w:r>
      <w:r w:rsidRPr="00AE3699">
        <w:rPr>
          <w:rStyle w:val="Odwoanieprzypisudolnego"/>
          <w:rFonts w:asciiTheme="minorHAnsi" w:hAnsiTheme="minorHAnsi"/>
        </w:rPr>
        <w:footnoteReference w:id="3"/>
      </w:r>
      <w:r w:rsidRPr="00AE3699">
        <w:rPr>
          <w:rStyle w:val="IGindeksgrny"/>
          <w:rFonts w:asciiTheme="minorHAnsi" w:hAnsiTheme="minorHAnsi"/>
        </w:rPr>
        <w:t>)</w:t>
      </w:r>
      <w:r w:rsidRPr="00AE3699">
        <w:rPr>
          <w:rFonts w:asciiTheme="minorHAnsi" w:hAnsiTheme="minorHAnsi"/>
        </w:rPr>
        <w:t>), zwanego dalej „rozporządzeniem 2016/679”, nie stosuje się na mocy art. 14 ust. 5 lit. c i d rozporządzenia 2016/679, chyba że zgłaszający nie spełnia przesłanek wskazanych w art. 6.</w:t>
      </w:r>
    </w:p>
    <w:p w:rsidR="00AE3699" w:rsidRPr="00AE3699" w:rsidRDefault="00AE3699" w:rsidP="00AE3699">
      <w:pPr>
        <w:pStyle w:val="USTustnpkodeksu"/>
        <w:rPr>
          <w:rFonts w:asciiTheme="minorHAnsi" w:hAnsiTheme="minorHAnsi"/>
        </w:rPr>
      </w:pPr>
      <w:r w:rsidRPr="00AE3699">
        <w:rPr>
          <w:rFonts w:asciiTheme="minorHAnsi" w:hAnsiTheme="minorHAnsi"/>
        </w:rPr>
        <w:t>6. Przepisu art. 15 ust 1 lit. g rozporządzenia 2016/679 nie stosuje się w zakresie terminu, w którym dane o źródle pozyskania danych mają być przekazane osobie, której dane dotyczą, chyba że zgłaszający nie spełnia przesłanek wskazanych w art. 6. Informacje dotyczące podmiotu będącego źródłem danych mogą być przekazane w terminie późniejszym, niż wynikający z art. 15 ust 1 lit. g rozporządzenia 2016/679, nie później jednak niż w ciągu 3 miesięcy od dnia zakończenia działań następczych.</w:t>
      </w:r>
    </w:p>
    <w:p w:rsidR="00AE3699" w:rsidRPr="00AE3699" w:rsidRDefault="00AE3699" w:rsidP="00AE3699">
      <w:pPr>
        <w:pStyle w:val="USTustnpkodeksu"/>
        <w:rPr>
          <w:rFonts w:asciiTheme="minorHAnsi" w:hAnsiTheme="minorHAnsi"/>
        </w:rPr>
      </w:pPr>
      <w:r w:rsidRPr="00AE3699">
        <w:rPr>
          <w:rFonts w:asciiTheme="minorHAnsi" w:hAnsiTheme="minorHAnsi"/>
        </w:rPr>
        <w:t>7. Przepis ust. 6 w zakresie przekazania informacji o źródle danych nie może stać w sprzeczności z zasadami ochrony danych osobowych osoby będącej źródłem tej informacji, w szczególności jeżeli ujawnienie może naruszyć jej prawa i wolności lub jeżeli nadal istnieje podejrzenie prowadzenia względem niej działań odwetowych.</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8. Dane osobowe przetwarzane w związku z przyjęciem zgłoszenia są przechowywane przez Rzecznika Praw Obywatelskich przez okres 12 miesięcy od dnia przekazania zgłoszenia do organu publicznego właściwego do podjęcia działań następczych.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9. Dane osobowe przetwarzane w związku z przyjęciem zgłoszenia </w:t>
      </w:r>
      <w:bookmarkStart w:id="3" w:name="highlightHit_10"/>
      <w:bookmarkEnd w:id="3"/>
      <w:r w:rsidRPr="00AE3699">
        <w:rPr>
          <w:rFonts w:asciiTheme="minorHAnsi" w:hAnsiTheme="minorHAnsi"/>
        </w:rPr>
        <w:t xml:space="preserve">oraz podjęciem działań następczych są przechowywane przez podmiot prawny oraz organ publiczny nie dłużej niż przez okres 15 miesięcy od dnia zakończenia działań następczych.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9.</w:t>
      </w:r>
      <w:r w:rsidRPr="00AE3699">
        <w:rPr>
          <w:rFonts w:asciiTheme="minorHAnsi" w:hAnsiTheme="minorHAnsi"/>
        </w:rPr>
        <w:t xml:space="preserve"> Przepisy ustawy nie uchybiają przepisom dotyczącym praw pracowników do konsultacji ze związkami zawodowymi, ochrony przed nieuzasadnionym szkodliwym działaniem w wyniku takich konsultacji, autonomii partnerów społecznych i ich prawa do zawierania układów zbiorowych.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10.</w:t>
      </w:r>
      <w:r w:rsidRPr="00AE3699">
        <w:rPr>
          <w:rFonts w:asciiTheme="minorHAnsi" w:hAnsiTheme="minorHAnsi"/>
        </w:rPr>
        <w:t xml:space="preserve"> 1. Przepisy ustawy nie uchybiają przepisom aktów normatywnych ustanowionych przez instytucje Unii Europejskiej, wymienionych w części II załącznika do dyrektywy Parlamentu Europejskiego i Rady (UE) 2019/1937 z dnia 23 października 2019 r. w sprawie ochrony osób zgłaszających naruszenia prawa Unii, zwanej dalej "dyrektywą 2019/1937”, oraz przepisach implementujących albo wykonujących te akty. </w:t>
      </w:r>
    </w:p>
    <w:p w:rsidR="00AE3699" w:rsidRPr="00AE3699" w:rsidRDefault="00AE3699" w:rsidP="00AE3699">
      <w:pPr>
        <w:pStyle w:val="USTustnpkodeksu"/>
        <w:rPr>
          <w:rFonts w:asciiTheme="minorHAnsi" w:hAnsiTheme="minorHAnsi"/>
        </w:rPr>
      </w:pPr>
      <w:r w:rsidRPr="00AE3699">
        <w:rPr>
          <w:rFonts w:asciiTheme="minorHAnsi" w:hAnsiTheme="minorHAnsi"/>
        </w:rPr>
        <w:lastRenderedPageBreak/>
        <w:t>2. Przepisy ustawy nie uchybiają przepisom odrębnym przewidującym rozpatrywanie informacji o naruszeniu prawa zgłoszonych anonimowo.</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2</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Zakaz działań odwetowych i środki ochrony</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11.</w:t>
      </w:r>
      <w:r w:rsidRPr="00AE3699">
        <w:rPr>
          <w:rFonts w:asciiTheme="minorHAnsi" w:hAnsiTheme="minorHAnsi"/>
        </w:rPr>
        <w:t xml:space="preserve"> Wobec zgłaszającego nie mogą być podejmowane działania odwetowe ani próby lub groźby zastosowania takich działań.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12.</w:t>
      </w:r>
      <w:r w:rsidRPr="00AE3699">
        <w:rPr>
          <w:rFonts w:asciiTheme="minorHAnsi" w:hAnsiTheme="minorHAnsi"/>
        </w:rPr>
        <w:t xml:space="preserve"> 1. Jeżeli praca była, jest lub ma być świadczona na podstawie stosunku pracy, wobec zgłaszającego nie mogą być podejmowanie działania odwetowe polegające w szczególności na: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odmowie nawiązania stosunku pracy,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wypowiedzeniu lub rozwiązaniu bez wypowiedzenia stosunku pracy,</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niezawarciu umowy o pracę na czas określony lub umowy o pracę na czas nieokreślony po rozwiązaniu umowy o pracę na okres próbny, niezawarciu kolejnej umowy o pracę na czas określony lub niezawarciu umowy o pracę na czas nieokreślony, po rozwiązaniu umowy o pracę na czas określony – w przypadku gdy pracownik miał uzasadnione oczekiwanie, że zostanie z nim zawarta taka umowa,</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 xml:space="preserve">obniżeniu wysokości wynagrodzenia za pracę, </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wstrzymaniu awansu albo pominięciu przy awansowaniu,</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pominięciu przy przyznawaniu innych niż wynagrodzenie świadczeń związanych z pracą lub obniżeniu wysokości tych świadczeń,</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przeniesieniu pracownika na niższe stanowisko pracy,</w:t>
      </w:r>
    </w:p>
    <w:p w:rsidR="00AE3699" w:rsidRPr="00AE3699" w:rsidRDefault="00AE3699" w:rsidP="00AE3699">
      <w:pPr>
        <w:pStyle w:val="PKTpunkt"/>
        <w:rPr>
          <w:rFonts w:asciiTheme="minorHAnsi" w:hAnsiTheme="minorHAnsi"/>
        </w:rPr>
      </w:pPr>
      <w:r w:rsidRPr="00AE3699">
        <w:rPr>
          <w:rFonts w:asciiTheme="minorHAnsi" w:hAnsiTheme="minorHAnsi"/>
        </w:rPr>
        <w:t>8)</w:t>
      </w:r>
      <w:r w:rsidRPr="00AE3699">
        <w:rPr>
          <w:rFonts w:asciiTheme="minorHAnsi" w:hAnsiTheme="minorHAnsi"/>
        </w:rPr>
        <w:tab/>
        <w:t xml:space="preserve">zawieszeniu w wykonywaniu obowiązków pracowniczych lub służbowych, </w:t>
      </w:r>
    </w:p>
    <w:p w:rsidR="00AE3699" w:rsidRPr="00AE3699" w:rsidRDefault="00AE3699" w:rsidP="00AE3699">
      <w:pPr>
        <w:pStyle w:val="PKTpunkt"/>
        <w:rPr>
          <w:rFonts w:asciiTheme="minorHAnsi" w:hAnsiTheme="minorHAnsi"/>
        </w:rPr>
      </w:pPr>
      <w:r w:rsidRPr="00AE3699">
        <w:rPr>
          <w:rFonts w:asciiTheme="minorHAnsi" w:hAnsiTheme="minorHAnsi"/>
        </w:rPr>
        <w:t>9)</w:t>
      </w:r>
      <w:r w:rsidRPr="00AE3699">
        <w:rPr>
          <w:rFonts w:asciiTheme="minorHAnsi" w:hAnsiTheme="minorHAnsi"/>
        </w:rPr>
        <w:tab/>
        <w:t>przekazaniu innemu pracownikowi dotychczasowych obowiązków pracownika,</w:t>
      </w:r>
    </w:p>
    <w:p w:rsidR="00AE3699" w:rsidRPr="00AE3699" w:rsidRDefault="00AE3699" w:rsidP="00AE3699">
      <w:pPr>
        <w:pStyle w:val="PKTpunkt"/>
        <w:rPr>
          <w:rFonts w:asciiTheme="minorHAnsi" w:hAnsiTheme="minorHAnsi"/>
        </w:rPr>
      </w:pPr>
      <w:r w:rsidRPr="00AE3699">
        <w:rPr>
          <w:rFonts w:asciiTheme="minorHAnsi" w:hAnsiTheme="minorHAnsi"/>
        </w:rPr>
        <w:t>10)</w:t>
      </w:r>
      <w:r w:rsidRPr="00AE3699">
        <w:rPr>
          <w:rFonts w:asciiTheme="minorHAnsi" w:hAnsiTheme="minorHAnsi"/>
        </w:rPr>
        <w:tab/>
        <w:t>niekorzystnej zmianie miejsca wykonywania pracy lub rozkładu czasu pracy,</w:t>
      </w:r>
    </w:p>
    <w:p w:rsidR="00AE3699" w:rsidRPr="00AE3699" w:rsidRDefault="00AE3699" w:rsidP="00AE3699">
      <w:pPr>
        <w:pStyle w:val="PKTpunkt"/>
        <w:rPr>
          <w:rFonts w:asciiTheme="minorHAnsi" w:hAnsiTheme="minorHAnsi"/>
        </w:rPr>
      </w:pPr>
      <w:r w:rsidRPr="00AE3699">
        <w:rPr>
          <w:rFonts w:asciiTheme="minorHAnsi" w:hAnsiTheme="minorHAnsi"/>
        </w:rPr>
        <w:t>11)</w:t>
      </w:r>
      <w:r w:rsidRPr="00AE3699">
        <w:rPr>
          <w:rFonts w:asciiTheme="minorHAnsi" w:hAnsiTheme="minorHAnsi"/>
        </w:rPr>
        <w:tab/>
        <w:t>negatywnej ocenie wyników pracy lub negatywnej opinii o pracy,</w:t>
      </w:r>
    </w:p>
    <w:p w:rsidR="00AE3699" w:rsidRPr="00AE3699" w:rsidRDefault="00AE3699" w:rsidP="00AE3699">
      <w:pPr>
        <w:pStyle w:val="PKTpunkt"/>
        <w:rPr>
          <w:rFonts w:asciiTheme="minorHAnsi" w:hAnsiTheme="minorHAnsi"/>
        </w:rPr>
      </w:pPr>
      <w:r w:rsidRPr="00AE3699">
        <w:rPr>
          <w:rFonts w:asciiTheme="minorHAnsi" w:hAnsiTheme="minorHAnsi"/>
        </w:rPr>
        <w:t>12)</w:t>
      </w:r>
      <w:r w:rsidRPr="00AE3699">
        <w:rPr>
          <w:rFonts w:asciiTheme="minorHAnsi" w:hAnsiTheme="minorHAnsi"/>
        </w:rPr>
        <w:tab/>
        <w:t>nałożeniu lub zastosowaniu środka dyscyplinarnego, w tym kary finansowej, lub środka o podobnym charakterze,</w:t>
      </w:r>
    </w:p>
    <w:p w:rsidR="00AE3699" w:rsidRPr="00AE3699" w:rsidRDefault="00AE3699" w:rsidP="00AE3699">
      <w:pPr>
        <w:pStyle w:val="PKTpunkt"/>
        <w:rPr>
          <w:rFonts w:asciiTheme="minorHAnsi" w:hAnsiTheme="minorHAnsi"/>
        </w:rPr>
      </w:pPr>
      <w:r w:rsidRPr="00AE3699">
        <w:rPr>
          <w:rFonts w:asciiTheme="minorHAnsi" w:hAnsiTheme="minorHAnsi"/>
        </w:rPr>
        <w:t>13)</w:t>
      </w:r>
      <w:r w:rsidRPr="00AE3699">
        <w:rPr>
          <w:rFonts w:asciiTheme="minorHAnsi" w:hAnsiTheme="minorHAnsi"/>
        </w:rPr>
        <w:tab/>
        <w:t>przymusie, zastraszaniu lub wykluczeniu,</w:t>
      </w:r>
    </w:p>
    <w:p w:rsidR="00AE3699" w:rsidRPr="00AE3699" w:rsidRDefault="00AE3699" w:rsidP="00AE3699">
      <w:pPr>
        <w:pStyle w:val="PKTpunkt"/>
        <w:rPr>
          <w:rFonts w:asciiTheme="minorHAnsi" w:hAnsiTheme="minorHAnsi"/>
        </w:rPr>
      </w:pPr>
      <w:r w:rsidRPr="00AE3699">
        <w:rPr>
          <w:rFonts w:asciiTheme="minorHAnsi" w:hAnsiTheme="minorHAnsi"/>
        </w:rPr>
        <w:t>14)</w:t>
      </w:r>
      <w:r w:rsidRPr="00AE3699">
        <w:rPr>
          <w:rFonts w:asciiTheme="minorHAnsi" w:hAnsiTheme="minorHAnsi"/>
        </w:rPr>
        <w:tab/>
        <w:t xml:space="preserve">mobbingu, </w:t>
      </w:r>
    </w:p>
    <w:p w:rsidR="00AE3699" w:rsidRPr="00AE3699" w:rsidRDefault="00AE3699" w:rsidP="00AE3699">
      <w:pPr>
        <w:pStyle w:val="PKTpunkt"/>
        <w:rPr>
          <w:rFonts w:asciiTheme="minorHAnsi" w:hAnsiTheme="minorHAnsi"/>
        </w:rPr>
      </w:pPr>
      <w:r w:rsidRPr="00AE3699">
        <w:rPr>
          <w:rFonts w:asciiTheme="minorHAnsi" w:hAnsiTheme="minorHAnsi"/>
        </w:rPr>
        <w:t>15)</w:t>
      </w:r>
      <w:r w:rsidRPr="00AE3699">
        <w:rPr>
          <w:rFonts w:asciiTheme="minorHAnsi" w:hAnsiTheme="minorHAnsi"/>
        </w:rPr>
        <w:tab/>
        <w:t xml:space="preserve">dyskryminacji, </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16)</w:t>
      </w:r>
      <w:r w:rsidRPr="00AE3699">
        <w:rPr>
          <w:rFonts w:asciiTheme="minorHAnsi" w:hAnsiTheme="minorHAnsi"/>
        </w:rPr>
        <w:tab/>
        <w:t>niekorzystnym lub niesprawiedliwym traktowaniu,</w:t>
      </w:r>
    </w:p>
    <w:p w:rsidR="00AE3699" w:rsidRPr="00AE3699" w:rsidRDefault="00AE3699" w:rsidP="00AE3699">
      <w:pPr>
        <w:pStyle w:val="PKTpunkt"/>
        <w:rPr>
          <w:rFonts w:asciiTheme="minorHAnsi" w:hAnsiTheme="minorHAnsi"/>
        </w:rPr>
      </w:pPr>
      <w:r w:rsidRPr="00AE3699">
        <w:rPr>
          <w:rFonts w:asciiTheme="minorHAnsi" w:hAnsiTheme="minorHAnsi"/>
        </w:rPr>
        <w:t>17)</w:t>
      </w:r>
      <w:r w:rsidRPr="00AE3699">
        <w:rPr>
          <w:rFonts w:asciiTheme="minorHAnsi" w:hAnsiTheme="minorHAnsi"/>
        </w:rPr>
        <w:tab/>
        <w:t>wstrzymaniu udziału lub pominięciu przy typowaniu do udziału w szkoleniach podnoszących kwalifikacje zawodowe,</w:t>
      </w:r>
    </w:p>
    <w:p w:rsidR="00AE3699" w:rsidRPr="00AE3699" w:rsidRDefault="00AE3699" w:rsidP="00AE3699">
      <w:pPr>
        <w:pStyle w:val="PKTpunkt"/>
        <w:rPr>
          <w:rFonts w:asciiTheme="minorHAnsi" w:hAnsiTheme="minorHAnsi"/>
        </w:rPr>
      </w:pPr>
      <w:r w:rsidRPr="00AE3699">
        <w:rPr>
          <w:rFonts w:asciiTheme="minorHAnsi" w:hAnsiTheme="minorHAnsi"/>
        </w:rPr>
        <w:t>18)</w:t>
      </w:r>
      <w:r w:rsidRPr="00AE3699">
        <w:rPr>
          <w:rFonts w:asciiTheme="minorHAnsi" w:hAnsiTheme="minorHAnsi"/>
        </w:rPr>
        <w:tab/>
        <w:t>nieuzasadnionym skierowaniu na badania lekarskie, w tym badania psychiatryczne, o ile przepisy odrębne przewidują możliwość skierowania pracownika na takie badanie,</w:t>
      </w:r>
    </w:p>
    <w:p w:rsidR="00AE3699" w:rsidRPr="00AE3699" w:rsidRDefault="00AE3699" w:rsidP="00AE3699">
      <w:pPr>
        <w:pStyle w:val="PKTpunkt"/>
        <w:rPr>
          <w:rFonts w:asciiTheme="minorHAnsi" w:hAnsiTheme="minorHAnsi"/>
        </w:rPr>
      </w:pPr>
      <w:r w:rsidRPr="00AE3699">
        <w:rPr>
          <w:rFonts w:asciiTheme="minorHAnsi" w:hAnsiTheme="minorHAnsi"/>
        </w:rPr>
        <w:t>19)</w:t>
      </w:r>
      <w:r w:rsidRPr="00AE3699">
        <w:rPr>
          <w:rFonts w:asciiTheme="minorHAnsi" w:hAnsiTheme="minorHAnsi"/>
        </w:rPr>
        <w:tab/>
        <w:t>działaniu zmierzającym do utrudnienia znalezienia w przyszłości pracy w danym sektorze lub branży na podstawie nieformalnego lub formalnego porozumienia sektorowego lub branżowego,</w:t>
      </w:r>
    </w:p>
    <w:p w:rsidR="00AE3699" w:rsidRPr="00AE3699" w:rsidRDefault="00AE3699" w:rsidP="00AE3699">
      <w:pPr>
        <w:pStyle w:val="PKTpunkt"/>
        <w:rPr>
          <w:rFonts w:asciiTheme="minorHAnsi" w:hAnsiTheme="minorHAnsi"/>
        </w:rPr>
      </w:pPr>
      <w:r w:rsidRPr="00AE3699">
        <w:rPr>
          <w:rFonts w:asciiTheme="minorHAnsi" w:hAnsiTheme="minorHAnsi"/>
        </w:rPr>
        <w:t>20)</w:t>
      </w:r>
      <w:r w:rsidRPr="00AE3699">
        <w:rPr>
          <w:rFonts w:asciiTheme="minorHAnsi" w:hAnsiTheme="minorHAnsi"/>
        </w:rPr>
        <w:tab/>
        <w:t>spowodowaniu straty finansowej, w tym gospodarczej lub utraty dochodu,</w:t>
      </w:r>
    </w:p>
    <w:p w:rsidR="00AE3699" w:rsidRPr="00AE3699" w:rsidRDefault="00AE3699" w:rsidP="00AE3699">
      <w:pPr>
        <w:pStyle w:val="PKTpunkt"/>
        <w:rPr>
          <w:rFonts w:asciiTheme="minorHAnsi" w:hAnsiTheme="minorHAnsi"/>
        </w:rPr>
      </w:pPr>
      <w:r w:rsidRPr="00AE3699">
        <w:rPr>
          <w:rFonts w:asciiTheme="minorHAnsi" w:hAnsiTheme="minorHAnsi"/>
        </w:rPr>
        <w:t>21)</w:t>
      </w:r>
      <w:r w:rsidRPr="00AE3699">
        <w:rPr>
          <w:rFonts w:asciiTheme="minorHAnsi" w:hAnsiTheme="minorHAnsi"/>
        </w:rPr>
        <w:tab/>
        <w:t>wyrządzeniu innej szkody niematerialnej, w tym nadszarpnięcia reputacji, zwłaszcza w mediach społecznościowych</w:t>
      </w:r>
    </w:p>
    <w:p w:rsidR="00AE3699" w:rsidRPr="00AE3699" w:rsidRDefault="00AE3699" w:rsidP="00AE3699">
      <w:pPr>
        <w:pStyle w:val="CZWSPPKTczwsplnapunktw"/>
        <w:rPr>
          <w:rFonts w:asciiTheme="minorHAnsi" w:hAnsiTheme="minorHAnsi"/>
        </w:rPr>
      </w:pPr>
      <w:r w:rsidRPr="00AE3699">
        <w:rPr>
          <w:rFonts w:asciiTheme="minorHAnsi" w:hAnsiTheme="minorHAnsi"/>
        </w:rPr>
        <w:t>– chyba że pracodawca udowodni, że kierował się obiektywnymi i należycie uzasadnionymi powodami.</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Za działania odwetowe z powodu dokonania zgłoszenia lub ujawnienia publicznego uważa się także groźbę lub próbę zastosowania środka określonego w ust. 1, chyba że pracodawca udowodni, że kierował się obiektywnymi i należycie uzasadnionymi powodami.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13.</w:t>
      </w:r>
      <w:r w:rsidRPr="00AE3699">
        <w:rPr>
          <w:rFonts w:asciiTheme="minorHAnsi" w:hAnsiTheme="minorHAnsi"/>
        </w:rPr>
        <w:t xml:space="preserve"> 1. Jeżeli praca lub usługa świadczone były, są lub mają być na podstawie stosunku prawnego innego niż stosunek pracy, przepis art. 12 stosuje się odpowiednio, o ile charakter pracy lub wykonywanej usługi nie wyklucza zastosowania wobec zgłaszającego takiego działania. </w:t>
      </w:r>
    </w:p>
    <w:p w:rsidR="00AE3699" w:rsidRPr="00AE3699" w:rsidRDefault="00AE3699" w:rsidP="00AE3699">
      <w:pPr>
        <w:pStyle w:val="USTustnpkodeksu"/>
        <w:rPr>
          <w:rFonts w:asciiTheme="minorHAnsi" w:hAnsiTheme="minorHAnsi"/>
        </w:rPr>
      </w:pPr>
      <w:r w:rsidRPr="00AE3699">
        <w:rPr>
          <w:rFonts w:asciiTheme="minorHAnsi" w:hAnsiTheme="minorHAnsi"/>
        </w:rPr>
        <w:t>2. Jeżeli praca lub usługa świadczone były, są lub mają być na podstawie stosunku prawnego innego niż stosunek pracy, dokonanie zgłoszenia lub ujawnienia publicznego nie może w szczególności stanowić podstawy:</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wypowiedzenia, odstąpienia lub rozwiązania bez wypowiedzenia umowy, której stroną jest zgłaszający, w szczególności dotyczącej sprzedaży lub dostawy towarów lub świadczenia usług,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nałożenia obowiązku bądź odmowy przyznania, ograniczenia lub odebrania uprawnienia, w szczególności koncesji, zezwolenia lub ulgi</w:t>
      </w:r>
    </w:p>
    <w:p w:rsidR="00AE3699" w:rsidRPr="00AE3699" w:rsidRDefault="00AE3699" w:rsidP="00AE3699">
      <w:pPr>
        <w:pStyle w:val="CZWSPPKTczwsplnapunktw"/>
        <w:rPr>
          <w:rFonts w:asciiTheme="minorHAnsi" w:hAnsiTheme="minorHAnsi"/>
        </w:rPr>
      </w:pPr>
      <w:r w:rsidRPr="00AE3699">
        <w:rPr>
          <w:rFonts w:asciiTheme="minorHAnsi" w:hAnsiTheme="minorHAnsi"/>
        </w:rPr>
        <w:t>– chyba że osoba, która dokonała czynności, o których mowa w ust. 2, udowodni, że kierowała się obiektywnymi i należycie uzasadnionymi powodami.</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14.</w:t>
      </w:r>
      <w:r w:rsidRPr="00AE3699">
        <w:rPr>
          <w:rFonts w:asciiTheme="minorHAnsi" w:hAnsiTheme="minorHAnsi"/>
        </w:rPr>
        <w:t xml:space="preserve"> Zgłaszający, wobec którego pracodawca lub druga strona stosunku prawnego dopuścili się działań odwetowych, o których mowa w art. 12 lub art. 13, ma prawo do odszkodowania w pełnej wysokości.</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15.</w:t>
      </w:r>
      <w:r w:rsidRPr="00AE3699">
        <w:rPr>
          <w:rFonts w:asciiTheme="minorHAnsi" w:hAnsiTheme="minorHAnsi"/>
        </w:rPr>
        <w:t xml:space="preserve"> Osoba, która poniosła szkodę z powodu świadomego zgłoszenia lub ujawnienia publicznego nieprawdziwych informacji przez zgłaszającego, ma prawo do odszkodowania w wysokości co najmniej przeciętnego wynagrodzenia w sektorze przedsiębiorstw, obowiązującego w dniu dokonania zgłoszenia lub ujawnienia publicznego.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16.</w:t>
      </w:r>
      <w:r w:rsidRPr="00AE3699">
        <w:rPr>
          <w:rFonts w:asciiTheme="minorHAnsi" w:hAnsiTheme="minorHAnsi"/>
        </w:rPr>
        <w:t xml:space="preserve"> 1. Dokonanie zgłoszenia lub ujawnienia publicznego nie może stanowić podstawy odpowiedzialności, w tym odpowiedzialności dyscyplinarnej lub odpowiedzialności za szkodę, z tytułu naruszenia praw innych osób lub obowiązków określonych w przepisach prawa, w szczególności w przedmiocie zniesławienia, naruszenia dóbr osobistych, praw autorskich, przepisów o ochronie danych osobowych oraz obowiązku zachowania tajemnicy, w tym tajemnicy przedsiębiorstwa, z zastrzeżeniem art. 5.</w:t>
      </w:r>
    </w:p>
    <w:p w:rsidR="00AE3699" w:rsidRPr="00AE3699" w:rsidRDefault="00AE3699" w:rsidP="00AE3699">
      <w:pPr>
        <w:pStyle w:val="USTustnpkodeksu"/>
        <w:rPr>
          <w:rFonts w:asciiTheme="minorHAnsi" w:hAnsiTheme="minorHAnsi"/>
        </w:rPr>
      </w:pPr>
      <w:r w:rsidRPr="00AE3699">
        <w:rPr>
          <w:rFonts w:asciiTheme="minorHAnsi" w:hAnsiTheme="minorHAnsi"/>
        </w:rPr>
        <w:t>2. W przypadku wszczęcia postępowania prawnego dotyczącego odpowiedzialności, o której mowa w ust. 1, zgłaszający może wystąpić o umorzenie takiego postępowania, pod warunkiem że miał uzasadnione podstawy by sądzić, że zgłoszenie lub ujawnienie publiczne jest niezbędne do ujawnienia naruszenia prawa zgodnie z ustawą.</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17.</w:t>
      </w:r>
      <w:r w:rsidRPr="00AE3699">
        <w:rPr>
          <w:rFonts w:asciiTheme="minorHAnsi" w:hAnsiTheme="minorHAnsi"/>
        </w:rPr>
        <w:t xml:space="preserve"> Nie można zrzec się praw określonych w niniejszym rozdziale ani przyjąć na siebie odpowiedzialności za szkodę powstałą z powodu dokonania zgłoszenia lub ujawnienia publicznego.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18.</w:t>
      </w:r>
      <w:r w:rsidRPr="00AE3699">
        <w:rPr>
          <w:rFonts w:asciiTheme="minorHAnsi" w:hAnsiTheme="minorHAnsi"/>
        </w:rPr>
        <w:t xml:space="preserve"> Postanowienia aktów prawnych, o których mowa w art. 9 § 2 ustawy z dnia 26 czerwca 1974 r. – Kodeks pracy (Dz. U. z 2020 r. poz. 1320, z 2021 r. poz. 1162 oraz z 2022 r. poz. 655), w zakresie, w jakim bezpośrednio lub pośrednio wyłączają lub ograniczają prawo do dokonania zgłoszenia lub ujawnienia publicznego lub przewidują stosowanie środków odwetowych, nie obowiązują.</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19.</w:t>
      </w:r>
      <w:r w:rsidRPr="00AE3699">
        <w:rPr>
          <w:rFonts w:asciiTheme="minorHAnsi" w:hAnsiTheme="minorHAnsi"/>
        </w:rPr>
        <w:t xml:space="preserve"> Postanowienia umów o pracę, innych aktów, na których podstawie powstaje stosunek pracy lub kształtujących prawa i obowiązki stron stosunku pracy, w zakresie, w jakim bezpośrednio lub pośrednio wyłączają lub ograniczają prawo do dokonania zgłoszenia lub ujawnienia publicznego lub przewidują stosowanie środków odwetowych, są nieważne.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20.</w:t>
      </w:r>
      <w:r w:rsidRPr="00AE3699">
        <w:rPr>
          <w:rFonts w:asciiTheme="minorHAnsi" w:hAnsiTheme="minorHAnsi"/>
        </w:rPr>
        <w:t xml:space="preserve"> Postanowienia umów oraz innych aktów, na podstawie których świadczona jest praca lub usługi, dostarczane są towary lub dokonywana jest sprzedaż, innych niż wymienione w art. 19, w zakresie, w jakim bezpośrednio lub pośrednio wyłączają lub ograniczają prawo do dokonania zgłoszenia lub ujawnienia publicznego lub przewidują stosowanie środków odwetowych, są nieważne.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21.</w:t>
      </w:r>
      <w:r w:rsidRPr="00AE3699">
        <w:rPr>
          <w:rFonts w:asciiTheme="minorHAnsi" w:hAnsiTheme="minorHAnsi"/>
        </w:rPr>
        <w:t xml:space="preserve"> 1. Przepisy rozdziału stosuje się odpowiednio do osoby pomagającej w dokonaniu zgłoszenia oraz osoby powiązanej ze zgłaszającym. </w:t>
      </w:r>
    </w:p>
    <w:p w:rsidR="00AE3699" w:rsidRPr="00AE3699" w:rsidRDefault="00AE3699" w:rsidP="00AE3699">
      <w:pPr>
        <w:pStyle w:val="USTustnpkodeksu"/>
        <w:rPr>
          <w:rFonts w:asciiTheme="minorHAnsi" w:hAnsiTheme="minorHAnsi"/>
        </w:rPr>
      </w:pPr>
      <w:r w:rsidRPr="00AE3699">
        <w:rPr>
          <w:rFonts w:asciiTheme="minorHAnsi" w:hAnsiTheme="minorHAnsi"/>
        </w:rPr>
        <w:t>2. Przepisy rozdziału stosuje się odpowiednio do osoby prawnej lub innej jednostki organizacyjnej pomagającej lub powiązanej ze zgłaszającym, w szczególności stanowiącej własność lub zatrudniającej zgłaszającego.</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22.</w:t>
      </w:r>
      <w:r w:rsidRPr="00AE3699">
        <w:rPr>
          <w:rFonts w:asciiTheme="minorHAnsi" w:hAnsiTheme="minorHAnsi"/>
        </w:rPr>
        <w:t xml:space="preserve"> Przepisy rozdziału stosuje się odpowiednio w przypadku, gdy informację o naruszeniu prawa zgłoszono do odpowiedniej instytucji, organu lub jednostki organizacyjnej Unii Europejskiej w trybie właściwym do dokonywania takich zgłoszeń.</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3</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Zgłoszenia wewnętrzne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23.</w:t>
      </w:r>
      <w:r w:rsidRPr="00AE3699">
        <w:rPr>
          <w:rFonts w:asciiTheme="minorHAnsi" w:hAnsiTheme="minorHAnsi"/>
        </w:rPr>
        <w:t xml:space="preserve"> 1. Przepisy rozdziału stosuje się do podmiotu prawnego, na rzecz którego wykonuje pracę co najmniej 50 osób.</w:t>
      </w:r>
    </w:p>
    <w:p w:rsidR="00AE3699" w:rsidRPr="00AE3699" w:rsidRDefault="00AE3699" w:rsidP="00AE3699">
      <w:pPr>
        <w:pStyle w:val="USTustnpkodeksu"/>
        <w:rPr>
          <w:rFonts w:asciiTheme="minorHAnsi" w:hAnsiTheme="minorHAnsi"/>
        </w:rPr>
      </w:pPr>
      <w:r w:rsidRPr="00AE3699">
        <w:rPr>
          <w:rFonts w:asciiTheme="minorHAnsi" w:hAnsiTheme="minorHAnsi"/>
        </w:rPr>
        <w:t>2. Próg, o którym mowa w ust. 1, nie ma zastosowania do podmiotu prawnego wykonującego działalność w zakresie usług, produktów i rynków finansowych oraz zapobiegania praniu pieniędzy i finansowaniu terroryzmu, bezpieczeństwa transportu i ochrony środowiska, objętych zakresem stosowania aktów prawnych Unii Europejskiej wymienionych w części I.B i II załącznika do dyrektywy 2019/1937.</w:t>
      </w:r>
    </w:p>
    <w:p w:rsidR="00AE3699" w:rsidRPr="00AE3699" w:rsidRDefault="00AE3699" w:rsidP="00AE3699">
      <w:pPr>
        <w:pStyle w:val="USTustnpkodeksu"/>
        <w:rPr>
          <w:rFonts w:asciiTheme="minorHAnsi" w:hAnsiTheme="minorHAnsi"/>
        </w:rPr>
      </w:pPr>
      <w:r w:rsidRPr="00AE3699">
        <w:rPr>
          <w:rFonts w:asciiTheme="minorHAnsi" w:hAnsiTheme="minorHAnsi"/>
        </w:rPr>
        <w:t>3. Przepisów rozdziału nie stosuje się do urzędów lub jednostek organizacyjnych gminy liczącej mniej niż 10 000 mieszkańców.</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24.</w:t>
      </w:r>
      <w:r w:rsidRPr="00AE3699">
        <w:rPr>
          <w:rFonts w:asciiTheme="minorHAnsi" w:hAnsiTheme="minorHAnsi"/>
        </w:rPr>
        <w:t xml:space="preserve"> 1. Podmiot prawny ustala wewnętrzną procedurę zgłaszania naruszeń prawa i podejmowania działań następczych, zwaną dalej „procedurą wewnętrzną”, zgodną z wymogami określonymi w niniejszym rozdziale.</w:t>
      </w:r>
    </w:p>
    <w:p w:rsidR="00AE3699" w:rsidRPr="00AE3699" w:rsidRDefault="00AE3699" w:rsidP="00AE3699">
      <w:pPr>
        <w:pStyle w:val="USTustnpkodeksu"/>
        <w:rPr>
          <w:rFonts w:asciiTheme="minorHAnsi" w:hAnsiTheme="minorHAnsi"/>
        </w:rPr>
      </w:pPr>
      <w:r w:rsidRPr="00AE3699">
        <w:rPr>
          <w:rFonts w:asciiTheme="minorHAnsi" w:hAnsiTheme="minorHAnsi"/>
        </w:rPr>
        <w:t>2. Podmiot prawny, na rzecz którego wykonuje pracę mniej niż 50 osób, może ustalić procedurę wewnętrzną.</w:t>
      </w:r>
    </w:p>
    <w:p w:rsidR="00AE3699" w:rsidRPr="00AE3699" w:rsidRDefault="00AE3699" w:rsidP="00AE3699">
      <w:pPr>
        <w:pStyle w:val="USTustnpkodeksu"/>
        <w:rPr>
          <w:rFonts w:asciiTheme="minorHAnsi" w:hAnsiTheme="minorHAnsi"/>
        </w:rPr>
      </w:pPr>
      <w:r w:rsidRPr="00AE3699">
        <w:rPr>
          <w:rFonts w:asciiTheme="minorHAnsi" w:hAnsiTheme="minorHAnsi"/>
        </w:rPr>
        <w:lastRenderedPageBreak/>
        <w:t>3. Podmiot prawny ustala procedurę wewnętrzną, po konsultacji z:</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zakładową organizacją związkową albo zakładowymi organizacjami związkowymi, jeżeli u podmiotu prawnego działa więcej niż jedna zakładowa organizacja związkowa, albo</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przedstawicielami osób świadczących pracę na rzecz podmiotu prawnego, wyłonionymi w trybie przyjętym u danego podmiotu prawnego, jeżeli w tym podmiocie prawnym nie działa zakładowa organizacja związkowa.</w:t>
      </w:r>
    </w:p>
    <w:p w:rsidR="00AE3699" w:rsidRPr="00AE3699" w:rsidRDefault="00AE3699" w:rsidP="00AE3699">
      <w:pPr>
        <w:pStyle w:val="USTustnpkodeksu"/>
        <w:rPr>
          <w:rFonts w:asciiTheme="minorHAnsi" w:hAnsiTheme="minorHAnsi"/>
        </w:rPr>
      </w:pPr>
      <w:r w:rsidRPr="00AE3699">
        <w:rPr>
          <w:rFonts w:asciiTheme="minorHAnsi" w:hAnsiTheme="minorHAnsi"/>
        </w:rPr>
        <w:t>4. Konsultacje, o których mowa w ust. 3, trwają nie krócej niż 7 dni i nie dłużej niż 14 dni od dnia przedstawienia przez podmiot prawny projektu procedury wewnętrznej.</w:t>
      </w:r>
    </w:p>
    <w:p w:rsidR="00AE3699" w:rsidRPr="00AE3699" w:rsidRDefault="00AE3699" w:rsidP="00AE3699">
      <w:pPr>
        <w:pStyle w:val="USTustnpkodeksu"/>
        <w:rPr>
          <w:rFonts w:asciiTheme="minorHAnsi" w:hAnsiTheme="minorHAnsi"/>
        </w:rPr>
      </w:pPr>
      <w:r w:rsidRPr="00AE3699">
        <w:rPr>
          <w:rFonts w:asciiTheme="minorHAnsi" w:hAnsiTheme="minorHAnsi"/>
        </w:rPr>
        <w:t>5. Procedura wewnętrzna wchodzi w życie po upływie 2 tygodni od dnia podania jej do wiadomości osób wykonujących pracę, w sposób przyjęty w danym podmiocie prawnym.</w:t>
      </w:r>
    </w:p>
    <w:p w:rsidR="00AE3699" w:rsidRPr="00AE3699" w:rsidRDefault="00AE3699" w:rsidP="00AE3699">
      <w:pPr>
        <w:pStyle w:val="USTustnpkodeksu"/>
        <w:rPr>
          <w:rFonts w:asciiTheme="minorHAnsi" w:hAnsiTheme="minorHAnsi"/>
        </w:rPr>
      </w:pPr>
      <w:r w:rsidRPr="00AE3699">
        <w:rPr>
          <w:rFonts w:asciiTheme="minorHAnsi" w:hAnsiTheme="minorHAnsi"/>
        </w:rPr>
        <w:t>6. Osobie ubiegającej się o wykonywanie pracy na podstawie stosunku pracy lub innego stosunku prawnego stanowiącego podstawę świadczenia pracy lub usług lub pełnienia funkcji podmiot prawny przekazuje informację o procedurze wewnętrznej wraz z rozpoczęciem rekrutacji lub negocjacji poprzedzających zawarcie umowy.</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25.</w:t>
      </w:r>
      <w:r w:rsidRPr="00AE3699">
        <w:rPr>
          <w:rFonts w:asciiTheme="minorHAnsi" w:hAnsiTheme="minorHAnsi"/>
        </w:rPr>
        <w:t xml:space="preserve"> 1. Procedura wewnętrzna określa: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wewnętrzną jednostkę organizacyjną, osobę w ramach struktury organizacyjnej  podmiotu prawnego lub podmiot zewnętrzny, upoważnione przez podmiot prawny do przyjmowania zgłoszeń;</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sposoby przekazywania zgłoszeń przez zgłaszającego wraz z jego adresem do kontaktu;</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bezstronną, wewnętrzną jednostkę organizacyjną lub osobę w ramach struktury organizacyjnej podmiotu prawnego, upoważnione do podejmowania działań następczych, włączając w to weryfikację zgłoszenia i dalszą komunikację ze zgłaszającym, w tym występowanie o dodatkowe informacje i przekazywanie zgłaszającemu informacji zwrotnej; rolę tę może pełnić wewnętrzna jednostka organizacyjna lub osoba, o których mowa w pkt 1, jeżeli zapewniają bezstronność;</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obowiązek potwierdzenia zgłaszającemu przyjęcia zgłoszenia w terminie 7 dni od dnia jego otrzymania, chyba że zgłaszający nie podał adresu do kontaktu, na który należy przekazać potwierdzenie;</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obowiązek podjęcia, z zachowaniem należytej staranności, działań następczych przez jednostkę organizacyjną lub osobę, o których mowa w pkt 3;</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6)</w:t>
      </w:r>
      <w:r w:rsidRPr="00AE3699">
        <w:rPr>
          <w:rFonts w:asciiTheme="minorHAnsi" w:hAnsiTheme="minorHAnsi"/>
        </w:rPr>
        <w:tab/>
        <w:t>maksymalny termin na przekazanie zgłaszającemu informacji zwrotnej, nieprzekraczający 3 miesięcy od potwierdzenia przyjęcia zgłoszenia lub, w przypadku nieprzekazania potwierdzenia, o którym mowa w pkt 4, 3 miesięcy od upływu 7 dni od dnia dokonania zgłoszenia, chyba że zgłaszający nie podał adresu do kontaktu, na który należy przekazać informację zwrotną;</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zrozumiałe i łatwo dostępne informacje na temat dokonywania zgłoszeń zewnętrznych do Rzecznika Praw Obywatelskich lub organów publicznych oraz, w stosownych przypadkach, do instytucji, organów lub jednostek organizacyjnych Unii Europejskiej.</w:t>
      </w:r>
    </w:p>
    <w:p w:rsidR="00AE3699" w:rsidRPr="00AE3699" w:rsidRDefault="00AE3699" w:rsidP="00AE3699">
      <w:pPr>
        <w:pStyle w:val="USTustnpkodeksu"/>
        <w:rPr>
          <w:rFonts w:asciiTheme="minorHAnsi" w:hAnsiTheme="minorHAnsi"/>
        </w:rPr>
      </w:pPr>
      <w:r w:rsidRPr="00AE3699">
        <w:rPr>
          <w:rFonts w:asciiTheme="minorHAnsi" w:hAnsiTheme="minorHAnsi"/>
        </w:rPr>
        <w:t>2. Procedura wewnętrzna może dodatkowo objąć w szczególności:</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wskazanie naruszeń, o których mowa w art. 3 ust. 2, jeżeli podmiot prawny ustanowi zgłaszanie takich naruszeń;</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wskazanie czynników ryzyka odpowiadających profilowi działalności podmiotu prawnego sprzyjających możliwości wystąpienia określonych naruszeń prawa związanych w szczególności z naruszeniem obowiązków regulacyjnych, innych obowiązków określonych w przepisach prawa lub ryzykiem korupcji;</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 xml:space="preserve">określenie systemu zachęt do korzystania z procedury wewnętrznej; </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 xml:space="preserve">informację, że zgłoszenie może w każdym przypadku nastąpić również do Rzecznika Praw Obywatelskich lub organu publicznego z pominięciem procedury wewnętrznej.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26.</w:t>
      </w:r>
      <w:r w:rsidRPr="00AE3699">
        <w:rPr>
          <w:rFonts w:asciiTheme="minorHAnsi" w:hAnsiTheme="minorHAnsi"/>
        </w:rPr>
        <w:t xml:space="preserve"> 1. Sposoby przekazywania zgłoszeń, o których mowa w art. 25 ust. 1 pkt 2, obejmują przynajmniej możliwość dokonywania zgłoszeń ustnie lub w postaci papierowej lub elektronicznej. </w:t>
      </w:r>
    </w:p>
    <w:p w:rsidR="00AE3699" w:rsidRPr="00AE3699" w:rsidRDefault="00AE3699" w:rsidP="00AE3699">
      <w:pPr>
        <w:pStyle w:val="USTustnpkodeksu"/>
        <w:rPr>
          <w:rFonts w:asciiTheme="minorHAnsi" w:hAnsiTheme="minorHAnsi"/>
        </w:rPr>
      </w:pPr>
      <w:r w:rsidRPr="00AE3699">
        <w:rPr>
          <w:rFonts w:asciiTheme="minorHAnsi" w:hAnsiTheme="minorHAnsi"/>
        </w:rPr>
        <w:t>2. Zgłoszenie ustne może być dokonane telefonicznie lub za pośrednictwem innych systemów komunikacji głosowej.</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Zgłoszenie ustne dokonane za pośrednictwem nagrywanej linii telefonicznej lub innego nagrywanego systemu komunikacji głosowej, za zgodą zgłaszającego, jest dokumentowane w formie: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nagrania rozmowy, umożliwiającego jej wyszukanie, lub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kompletnej i dokładnej transkrypcji rozmowy przygotowanej przez jednostkę, osobę lub podmiot, o których mowa w art. 25 ust. 1 pkt 1.</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Zgłoszenie ustne, dokonywane za pośrednictwem nienagrywanej linii telefonicznej lub innego nienagrywanego systemu komunikacji głosowej, jest dokumentowane w formie </w:t>
      </w:r>
      <w:r w:rsidRPr="00AE3699">
        <w:rPr>
          <w:rFonts w:asciiTheme="minorHAnsi" w:hAnsiTheme="minorHAnsi"/>
        </w:rPr>
        <w:lastRenderedPageBreak/>
        <w:t>dokładnego protokołu rozmowy sporządzonego przez wewnętrzną jednostkę organizacyjną, osobę w ramach struktury organizacyjnej podmiotu prawnego lub podmiot zewnętrzny, upoważnione do przyjmowania zgłoszeń.</w:t>
      </w:r>
    </w:p>
    <w:p w:rsidR="00AE3699" w:rsidRPr="00AE3699" w:rsidRDefault="00AE3699" w:rsidP="00AE3699">
      <w:pPr>
        <w:pStyle w:val="USTustnpkodeksu"/>
        <w:rPr>
          <w:rFonts w:asciiTheme="minorHAnsi" w:hAnsiTheme="minorHAnsi"/>
        </w:rPr>
      </w:pPr>
      <w:r w:rsidRPr="00AE3699">
        <w:rPr>
          <w:rFonts w:asciiTheme="minorHAnsi" w:hAnsiTheme="minorHAnsi"/>
        </w:rPr>
        <w:t>5. W przypadku, o którym mowa w ust. 3 pkt 2 oraz ust. 4, zgłaszający może dokonać sprawdzenia, poprawienia i zatwierdzenia transkrypcji rozmowy lub protokołu rozmowy przez ich podpisanie.</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6. Na wniosek zgłaszającego zgłoszenie ustne może być dokonane za pomocą bezpośredniego spotkania zorganizowanego w terminie 7 dni od dnia otrzymania takiego wniosku. W takim przypadku, za zgodą zgłaszającego, zgłoszenie jest dokumentowane w formie: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nagrania rozmowy, umożliwiającego jej wyszukanie, lub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dokładnego protokołu spotkania przygotowanego przez jednostkę, osobę lub podmiot, o których mowa w art. 25 ust. 1 pkt 1.</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7. W przypadku, o którym mowa w ust. 6 pkt 2, zgłaszający może dokonać sprawdzenia, poprawienia i zatwierdzenia protokołu spotkania przez jego podpisanie.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27.</w:t>
      </w:r>
      <w:r w:rsidRPr="00AE3699">
        <w:rPr>
          <w:rFonts w:asciiTheme="minorHAnsi" w:hAnsiTheme="minorHAnsi"/>
        </w:rPr>
        <w:t xml:space="preserve"> 1. Podmiot prawny zapewnia, aby procedura wewnętrzna oraz związane z tym przetwarzanie danych osobowych uniemożliwiały uzyskanie dostępu do informacji objętych zgłoszeniem nieupoważnionym osobom oraz zapewniały ochronę poufności tożsamości zgłaszającego, osoby, której dotyczy zgłoszenie, oraz osoby trzeciej wskazanej w zgłoszeniu. Ochrona poufności dotyczy informacji, na podstawie których można bezpośrednio lub pośrednio zidentyfikować tożsamość takich osób.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Do przyjmowania i weryfikacji zgłoszeń, podejmowania działań następczych oraz przetwarzania danych osobowych osób, o których mowa w ust. 1, mogą być dopuszczone wyłącznie osoby posiadające pisemne upoważnienie podmiotu prawnego. Osoby upoważnione są obowiązane do zachowania tajemnicy, także po ustaniu stosunku pracy lub innego stosunku prawnego, w ramach którego wykonywały tę pracę.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28.</w:t>
      </w:r>
      <w:r w:rsidRPr="00AE3699">
        <w:rPr>
          <w:rFonts w:asciiTheme="minorHAnsi" w:hAnsiTheme="minorHAnsi"/>
        </w:rPr>
        <w:t xml:space="preserve"> 1. Upoważnienie podmiotu zewnętrznego innego niż wewnętrzna jednostka organizacyjna lub osoba, o których mowa w art. 25 ust. 1 pkt 1 i 3, wymaga zawarcia umowy, w której podmiot prawny powierza obsługę przyjmowania zgłoszeń, potwierdzanie przyjęcia zgłoszenia, przekazanie informacji zwrotnej oraz zapewnienie informacji na temat procedury </w:t>
      </w:r>
      <w:r w:rsidRPr="00AE3699">
        <w:rPr>
          <w:rFonts w:asciiTheme="minorHAnsi" w:hAnsiTheme="minorHAnsi"/>
        </w:rPr>
        <w:lastRenderedPageBreak/>
        <w:t>wewnętrznej z zastosowaniem rozwiązań technicznych i organizacyjnych zapewniających zgodność tych czynności z ustawą, w szczególności z art. 25 ust. 1 oraz art. 27.</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Podmioty prywatne, na rzecz których wykonuje pracę co najmniej 50, lecz nie więcej niż 249 osób, mogą na podstawie umowy dzielić się zasobami w zakresie przyjmowania i weryfikacji zgłoszeń oraz prowadzania postępowania wyjaśniającego, pod warunkiem zapewnienia zgodności wykonywanych czynności z ustawą. </w:t>
      </w:r>
    </w:p>
    <w:p w:rsidR="00AE3699" w:rsidRPr="00AE3699" w:rsidRDefault="00AE3699" w:rsidP="00AE3699">
      <w:pPr>
        <w:pStyle w:val="USTustnpkodeksu"/>
        <w:rPr>
          <w:rFonts w:asciiTheme="minorHAnsi" w:hAnsiTheme="minorHAnsi"/>
        </w:rPr>
      </w:pPr>
      <w:r w:rsidRPr="00AE3699">
        <w:rPr>
          <w:rFonts w:asciiTheme="minorHAnsi" w:hAnsiTheme="minorHAnsi"/>
        </w:rPr>
        <w:t>3. Zawarcie umowy, o której mowa w ust. 1 i 2, nie uchyla odpowiedzialności podmiotu prawnego za dochowanie obowiązków określonych w niniejszym rozdziale, w szczególności zachowania poufności, udzielenia informacji zwrotnej oraz podjęcia działań następczych.</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Procedura wewnętrzna może być ustalona na podstawie umowy jako wspólna dla kilku urzędów lub jednostek organizacyjnych w ramach jednej gminy lub kilku gmin, pod warunkiem zapewnienia ich odrębności i niezależności od procedury przyjmowania zgłoszeń zewnętrznych i podejmowania działań następczych.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5. Podmioty, o których mowa w ust. 2 i 4, są odrębnymi administratorami pozyskanych w związku z przyjmowaniem i weryfikacją zgłoszeń danych, z zastrzeżeniem ust. 6. Administrator podejmuje działania mające na celu: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zapewnienie ochrony przed nieuprawnionym dostępem do danych;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 xml:space="preserve">zapewnienie integralności danych;  </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 xml:space="preserve">określenie zasad bezpieczeństwa przetwarzanych danych, w tym danych osobowych; </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 xml:space="preserve">określenie zasad zgłaszania naruszenia ochrony danych osobowych; </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zapewnienie rozliczalności.</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6. Administratorzy, o których mowa w ust. 5, nie mają wzajemnie dostępu do danych pozyskanych przez odrębnego administratora. </w:t>
      </w:r>
    </w:p>
    <w:p w:rsidR="00AE3699" w:rsidRPr="00AE3699" w:rsidRDefault="00AE3699" w:rsidP="00AE3699">
      <w:pPr>
        <w:pStyle w:val="USTustnpkodeksu"/>
        <w:rPr>
          <w:rFonts w:asciiTheme="minorHAnsi" w:hAnsiTheme="minorHAnsi"/>
        </w:rPr>
      </w:pPr>
      <w:r w:rsidRPr="00AE3699">
        <w:rPr>
          <w:rFonts w:asciiTheme="minorHAnsi" w:hAnsiTheme="minorHAnsi"/>
        </w:rPr>
        <w:t>7. Przepis ust. 6 nie ma zastosowania do sytuacji, w której w toku postępowania wyjaśniającego ustalono, że właściwy do przyjęcia zgłoszenia lub zobowiązany do podjęcia działań następczych jest inny administrator niż ten, do którego wpłynęło zgłoszenie, lub właściwych jest co najmniej 2 administratorów. Administratorowi udostępnia się tylko te dane, które są niezbędne do podjęcia działań następczych.</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8. Jeżeli podmioty, o których mowa w ust. 2 i 4, realizując zadania określone w ustawie, działają we wspólnym interesie i wspólnie ustalają cele i sposoby przetwarzania danych </w:t>
      </w:r>
      <w:r w:rsidRPr="00AE3699">
        <w:rPr>
          <w:rFonts w:asciiTheme="minorHAnsi" w:hAnsiTheme="minorHAnsi"/>
        </w:rPr>
        <w:lastRenderedPageBreak/>
        <w:t xml:space="preserve">pozyskanych w wyniku zgłoszenia, są współadministratorami danych w zakresie realizacji tych zadań.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9. Administratorzy, o których mowa w ust. 7, wskazują wybrany spośród nich podmiot, który zapewnia realizację praw osób wynikających z art. 12–22 i art. 34 rozporządzenia 2016/679.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29.</w:t>
      </w:r>
      <w:r w:rsidRPr="00AE3699">
        <w:rPr>
          <w:rFonts w:asciiTheme="minorHAnsi" w:hAnsiTheme="minorHAnsi"/>
        </w:rPr>
        <w:t xml:space="preserve"> 1. Podmiot prawny:</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prowadzi rejestr zgłoszeń wewnętrznych;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jest administratorem zgromadzonych w tym rejestrze danych.</w:t>
      </w:r>
    </w:p>
    <w:p w:rsidR="00AE3699" w:rsidRPr="00AE3699" w:rsidRDefault="00AE3699" w:rsidP="00AE3699">
      <w:pPr>
        <w:pStyle w:val="USTustnpkodeksu"/>
        <w:rPr>
          <w:rFonts w:asciiTheme="minorHAnsi" w:hAnsiTheme="minorHAnsi"/>
        </w:rPr>
      </w:pPr>
      <w:r w:rsidRPr="00AE3699">
        <w:rPr>
          <w:rFonts w:asciiTheme="minorHAnsi" w:hAnsiTheme="minorHAnsi"/>
        </w:rPr>
        <w:t>2. Podmiot prawny może upoważnić wewnętrzną jednostkę organizacyjną lub osobę, o których mowa w art. 25 ust. 1 pkt 1 lub 3, do prowadzenia rejestru zgłoszeń wewnętrznych.</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Wpisu do rejestru zgłoszeń wewnętrznych dokonuje się na podstawie zgłoszenia wewnętrznego.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Rejestr zgłoszeń wewnętrznych zawiera: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numer zgłoszenia;</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przedmiot naruszenia;</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datę dokonania zgłoszenia wewnętrznego;</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 xml:space="preserve">informację o podjętych działaniach następczych;  </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datę zakończenia sprawy.</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5. Dane w rejestrze zgłoszeń wewnętrznych są przechowywane przez okres 12 miesięcy od dnia zakończenia działań następczych. </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4</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Zgłoszenia zewnętrzne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30.</w:t>
      </w:r>
      <w:r w:rsidRPr="00AE3699">
        <w:rPr>
          <w:rFonts w:asciiTheme="minorHAnsi" w:hAnsiTheme="minorHAnsi"/>
        </w:rPr>
        <w:t xml:space="preserve"> 1. Zgłaszający może dokonać zgłoszenia zewnętrznego bez uprzedniego dokonania zgłoszenia wewnętrznego.</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Zgłoszenie zewnętrzne jest przyjmowane przez Rzecznika Praw Obywatelskich albo organ publiczny.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Rzecznik Praw Obywatelskich oraz organ publiczny są odrębnymi administratorami w zakresie danych podanych w zgłoszeniu zewnętrznym, które zostało przyjęte przez ten organ.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 xml:space="preserve">Art. 31. </w:t>
      </w:r>
      <w:r w:rsidRPr="00AE3699">
        <w:rPr>
          <w:rFonts w:asciiTheme="minorHAnsi" w:hAnsiTheme="minorHAnsi"/>
        </w:rPr>
        <w:t xml:space="preserve">Rzecznik Praw Obywatelskich: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ustala procedurę przyjmowania zgłoszeń zewnętrznych;</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2)</w:t>
      </w:r>
      <w:r w:rsidRPr="00AE3699">
        <w:rPr>
          <w:rFonts w:asciiTheme="minorHAnsi" w:hAnsiTheme="minorHAnsi"/>
        </w:rPr>
        <w:tab/>
        <w:t>przyjmuje zgłoszenia zewnętrzne o naruszeniach prawa w dziedzinach wskazanych w art. 3 ust. 1, dokonuje ich wstępnej weryfikacji i przekazuje organom publicznym właściwym do podjęcia działań następczych;</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 xml:space="preserve">zapewnia powszechny dostęp do informacji na temat praw i środków ochrony prawnej zgłaszających oraz osób, o których mowa w art. 21, przed działaniami odwetowymi oraz praw osób, których dotyczy zgłoszenie, w szczególności przez zamieszczanie tych informacji na swojej stronie podmiotowej Biuletynu Informacji Publicznej; </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udziela zgłaszającym oraz osobom, o których mowa w art. 21 oraz osobom, których dotyczy zgłoszenie, porad w zakresie, o którym mowa w pkt 3;</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udziela zgłaszającym oraz osobom, o których mowa w art. 21, informacji o organach, które w zakresie realizowanych zadań mogą podjąć działania służące ochronie zgłaszających przed działaniami odwetowymi oraz, w odpowiednich przypadkach, wsparcia w kontaktach z takimi organami, w szczególności przez poinformowanie właściwych organów o dostrzeżonej konieczności objęcia zgłaszającego ochroną.</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32</w:t>
      </w:r>
      <w:r w:rsidRPr="00AE3699">
        <w:rPr>
          <w:rFonts w:asciiTheme="minorHAnsi" w:hAnsiTheme="minorHAnsi"/>
        </w:rPr>
        <w:t xml:space="preserve">. 1. Wstępna weryfikacja zgłoszenia przez Rzecznika Praw Obywatelskich polega na ustaleniu, czy zgłoszenie dotyczy informacji o naruszeniu prawa, oraz zidentyfikowaniu organu publicznego właściwego do podjęcia działań następczych. </w:t>
      </w:r>
    </w:p>
    <w:p w:rsidR="00AE3699" w:rsidRPr="00AE3699" w:rsidRDefault="00AE3699" w:rsidP="00AE3699">
      <w:pPr>
        <w:pStyle w:val="USTustnpkodeksu"/>
        <w:rPr>
          <w:rFonts w:asciiTheme="minorHAnsi" w:hAnsiTheme="minorHAnsi"/>
        </w:rPr>
      </w:pPr>
      <w:r w:rsidRPr="00AE3699">
        <w:rPr>
          <w:rFonts w:asciiTheme="minorHAnsi" w:hAnsiTheme="minorHAnsi"/>
        </w:rPr>
        <w:t>2. Jeżeli zgłoszenie dotyczy informacji o naruszeniu prawa, Rzecznik Praw Obywatelskich niezwłocznie, nie później jednak niż w ciągu 14 dni od dnia dokonania zgłoszenia, przekazuje zgłoszenie do organu publicznego właściwego do podjęcia działań następczych.</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Rzecznik Praw Obywatelskich informuje zgłaszającego o przekazaniu zgłoszenia. Informacja obejmuje przynajmniej wskazanie organu publicznego, do którego zgłoszenie zostało przekazane, oraz datę przekazania. </w:t>
      </w:r>
    </w:p>
    <w:p w:rsidR="00AE3699" w:rsidRPr="00AE3699" w:rsidRDefault="00AE3699" w:rsidP="00AE3699">
      <w:pPr>
        <w:pStyle w:val="USTustnpkodeksu"/>
        <w:rPr>
          <w:rFonts w:asciiTheme="minorHAnsi" w:hAnsiTheme="minorHAnsi"/>
        </w:rPr>
      </w:pPr>
      <w:r w:rsidRPr="00AE3699">
        <w:rPr>
          <w:rFonts w:asciiTheme="minorHAnsi" w:hAnsiTheme="minorHAnsi"/>
        </w:rPr>
        <w:t>4. Rzecznik Praw Obywatelskich odstępuje od przekazania zgłoszenia, jeżeli zgłoszenie nie dotyczy informacji o naruszeniu prawa.</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5. Rzecznik Praw Obywatelskich informuje zgłaszającego o odstąpieniu od przekazania zgłoszenia, podając ustalenia ze wstępnej weryfikacji zgłoszenia.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6. Odstępując od przekazania zgłoszenia, Rzecznik Praw Obywatelskich może poinformować zgłaszającego, że informacja objęta zgłoszeniem należy do trybu podlegającego przepisom odrębnym, w szczególności jako przedmiot powództwa cywilnego, zawiadomienia o podejrzeniu popełnienia przestępstwa, skargi do sądu administracyjnego, </w:t>
      </w:r>
      <w:r w:rsidRPr="00AE3699">
        <w:rPr>
          <w:rFonts w:asciiTheme="minorHAnsi" w:hAnsiTheme="minorHAnsi"/>
        </w:rPr>
        <w:lastRenderedPageBreak/>
        <w:t>skargi, wniosku lub petycji, lub może zostać przedstawiona w innym trybie do rozpatrzenia właściwym organom. Poinformowanie zgłaszającego nie wpływa w szczególności na dopuszczalność wniesionego później środka prawnego, bieg terminów ani na treść rozstrzygnięcia lub sposób zakończenia postępowania. Informacja przekazana zgłaszającemu zawiera pouczenie w tym zakresie.</w:t>
      </w:r>
    </w:p>
    <w:p w:rsidR="00AE3699" w:rsidRPr="00AE3699" w:rsidRDefault="00AE3699" w:rsidP="00AE3699">
      <w:pPr>
        <w:pStyle w:val="USTustnpkodeksu"/>
        <w:rPr>
          <w:rFonts w:asciiTheme="minorHAnsi" w:hAnsiTheme="minorHAnsi"/>
        </w:rPr>
      </w:pPr>
      <w:r w:rsidRPr="00AE3699">
        <w:rPr>
          <w:rFonts w:asciiTheme="minorHAnsi" w:hAnsiTheme="minorHAnsi"/>
        </w:rPr>
        <w:t>7. Przekazanie, o którym mowa w ust. 2, oraz odstąpienie od przekazania zgłoszenia, o którym mowa w ust. 4, nie stanowią czynności, o których mowa w art. 3 § 2 pkt 4 ustawy z dnia 30 sierpnia 2002 r. – Prawo o postępowaniu przed sądami administracyjnymi (Dz. U. z 2022 r. poz. 329 i 655).</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33.</w:t>
      </w:r>
      <w:r w:rsidRPr="00AE3699">
        <w:rPr>
          <w:rFonts w:asciiTheme="minorHAnsi" w:hAnsiTheme="minorHAnsi"/>
        </w:rPr>
        <w:t xml:space="preserve"> Organ publiczny ustala procedurę przyjmowania zgłoszeń zewnętrznych oraz podejmowania działań następczych, zwaną dalej „procedurą zewnętrzną”.</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34.</w:t>
      </w:r>
      <w:r w:rsidRPr="00AE3699">
        <w:rPr>
          <w:rFonts w:asciiTheme="minorHAnsi" w:hAnsiTheme="minorHAnsi"/>
        </w:rPr>
        <w:t xml:space="preserve"> 1. Organ publiczny:</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dokonuje wstępnej weryfikacji zgłoszenia zewnętrznego;</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przyjmuje zgłoszenie zewnętrze – w przypadku gdy zgłoszenie dotyczy naruszeń w dziedzinie należącej do zakresu działania tego organu;</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przekazuje zgłoszenie zewnętrzne niezwłocznie, nie później jednak niż w ciągu 14 dni od dnia dokonania zgłoszenia, do organu publicznego właściwego do podjęcia działań następczych – w przypadku gdy zgłoszenie dotyczy naruszeń w dziedzinie nienależącej do zakresu działania tego organu oraz informuje o tym zgłaszającego;</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podejmuje działania następcze;</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przekazuje zgłaszającemu informację zwrotną.</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Przepis art. 32 ust. 4–7 stosuje się odpowiednio.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35.</w:t>
      </w:r>
      <w:r w:rsidRPr="00AE3699">
        <w:rPr>
          <w:rFonts w:asciiTheme="minorHAnsi" w:hAnsiTheme="minorHAnsi"/>
        </w:rPr>
        <w:t xml:space="preserve"> 1. W celu skutecznego podjęcia działań następczych oraz przekazania informacji zwrotnej zgłaszający podaje adres korespondencyjny lub adres poczty elektronicznej, zwane dalej „adresem do kontaktu”.</w:t>
      </w:r>
    </w:p>
    <w:p w:rsidR="00AE3699" w:rsidRPr="00AE3699" w:rsidRDefault="00AE3699" w:rsidP="00AE3699">
      <w:pPr>
        <w:pStyle w:val="USTustnpkodeksu"/>
        <w:rPr>
          <w:rFonts w:asciiTheme="minorHAnsi" w:hAnsiTheme="minorHAnsi"/>
        </w:rPr>
      </w:pPr>
      <w:r w:rsidRPr="00AE3699">
        <w:rPr>
          <w:rFonts w:asciiTheme="minorHAnsi" w:hAnsiTheme="minorHAnsi"/>
        </w:rPr>
        <w:t>2. Jeżeli w zgłoszeniu nie wskazano adresu do kontaktu i nie jest możliwe ustalenie tego adresu na podstawie posiadanych danych:</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Rzecznik Praw Obywatelskich nie realizuje obowiązku, o którym mowa w art. 32 ust. 3 i  5 oraz 36 ust. 3;</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2)</w:t>
      </w:r>
      <w:r w:rsidRPr="00AE3699">
        <w:rPr>
          <w:rFonts w:asciiTheme="minorHAnsi" w:hAnsiTheme="minorHAnsi"/>
        </w:rPr>
        <w:tab/>
        <w:t xml:space="preserve">organ publiczny nie realizuje obowiązku, o którym mowa w art. 36 ust. 3 oraz art. 38 ust. 1 zdanie drugie oraz art. 39.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36.</w:t>
      </w:r>
      <w:r w:rsidRPr="00AE3699">
        <w:rPr>
          <w:rFonts w:asciiTheme="minorHAnsi" w:hAnsiTheme="minorHAnsi"/>
        </w:rPr>
        <w:t xml:space="preserve"> 1. Zgłoszenie zewnętrzne może być dokonane ustnie lub w postaci papierowej lub elektronicznej. Przepis art. 26 ust. 2–7 stosuje się odpowiednio.</w:t>
      </w:r>
    </w:p>
    <w:p w:rsidR="00AE3699" w:rsidRPr="00AE3699" w:rsidRDefault="00AE3699" w:rsidP="00AE3699">
      <w:pPr>
        <w:pStyle w:val="USTustnpkodeksu"/>
        <w:rPr>
          <w:rFonts w:asciiTheme="minorHAnsi" w:hAnsiTheme="minorHAnsi"/>
        </w:rPr>
      </w:pPr>
      <w:r w:rsidRPr="00AE3699">
        <w:rPr>
          <w:rFonts w:asciiTheme="minorHAnsi" w:hAnsiTheme="minorHAnsi"/>
        </w:rPr>
        <w:t>2. Zgłoszenie w postaci papierowej lub elektronicznej może być dokonane: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w postaci papierowej – pod wskazany przez Rzecznika Praw Obywatelskich lub organ publiczny przyjmujący zgłoszenie adres do korespondencji;</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w postaci elektronicznej – pod wskazany przez</w:t>
      </w:r>
      <w:r w:rsidRPr="00AE3699" w:rsidDel="0073527D">
        <w:rPr>
          <w:rFonts w:asciiTheme="minorHAnsi" w:hAnsiTheme="minorHAnsi"/>
        </w:rPr>
        <w:t xml:space="preserve"> </w:t>
      </w:r>
      <w:r w:rsidRPr="00AE3699">
        <w:rPr>
          <w:rFonts w:asciiTheme="minorHAnsi" w:hAnsiTheme="minorHAnsi"/>
        </w:rPr>
        <w:t xml:space="preserve">Rzecznika Praw Obywatelskich lub organ publiczny przyjmujący zgłoszenie adres poczty elektronicznej lub elektroniczną skrzynkę podawczą lub przeznaczony do tego formularz internetowy.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3. Rzecznik Praw Obywatelskich albo organ publiczny, który otrzymał zgłoszenie zewnętrzne, potwierdza jego otrzymanie zgłaszającemu na adres do kontaktu niezwłocznie, nie później jednak niż w terminie 7 dni roboczych od dnia otrzymania zgłoszenia, chyba że zgłaszający wystąpił wyraźnie z odmiennym wnioskiem w tym zakresie lub Rzecznik Praw Obywatelskich albo organ publiczny ma uzasadnione powody by sądzić, że potwierdzenie otrzymania zgłoszenia zagroziłoby ochronie tożsamości zgłaszającego.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37.</w:t>
      </w:r>
      <w:r w:rsidRPr="00AE3699">
        <w:rPr>
          <w:rFonts w:asciiTheme="minorHAnsi" w:hAnsiTheme="minorHAnsi"/>
        </w:rPr>
        <w:t xml:space="preserve"> 1. Organ publiczny może zwrócić się do zgłaszającego o wyjaśnienia lub dodatkowe informacje w zakresie przekazanych informacji, jakie mogą być w jego posiadaniu, wykorzystując adres do kontaktu. Jeżeli zgłaszający sprzeciwia się przesłaniu żądanych wyjaśnień lub dodatkowych informacji lub przesłanie takich żądań może zagrozić ochronie tożsamości zgłaszającego, organ publiczny odstępuje od żądania wyjaśnień lub dodatkowych informacji.</w:t>
      </w:r>
    </w:p>
    <w:p w:rsidR="00AE3699" w:rsidRPr="00AE3699" w:rsidRDefault="00AE3699" w:rsidP="00AE3699">
      <w:pPr>
        <w:pStyle w:val="USTustnpkodeksu"/>
        <w:rPr>
          <w:rFonts w:asciiTheme="minorHAnsi" w:hAnsiTheme="minorHAnsi"/>
        </w:rPr>
      </w:pPr>
      <w:r w:rsidRPr="00AE3699">
        <w:rPr>
          <w:rFonts w:asciiTheme="minorHAnsi" w:hAnsiTheme="minorHAnsi"/>
        </w:rPr>
        <w:t>2. W uzasadnionych przypadkach organ publiczny może przekazać w celu przeprowadzenia postępowania wyjaśniającego zgłoszenie: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jednostkom organizacyjnym podległym lub nadzorowanym;</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innej jednostce organizacyjnej, której powierzono zadania w drodze porozumienia.</w:t>
      </w:r>
    </w:p>
    <w:p w:rsidR="00AE3699" w:rsidRPr="00AE3699" w:rsidRDefault="00AE3699" w:rsidP="00AE3699">
      <w:pPr>
        <w:pStyle w:val="USTustnpkodeksu"/>
        <w:rPr>
          <w:rFonts w:asciiTheme="minorHAnsi" w:hAnsiTheme="minorHAnsi"/>
        </w:rPr>
      </w:pPr>
      <w:r w:rsidRPr="00AE3699">
        <w:rPr>
          <w:rFonts w:asciiTheme="minorHAnsi" w:hAnsiTheme="minorHAnsi"/>
        </w:rPr>
        <w:t>3. W uzasadnionych przypadkach organ publiczny przekazuje bez zbędnej zwłoki właściwym instytucjom, organom lub jednostkom organizacyjnym Unii Europejskiej informacje zawarte w zgłoszeniu w celu dalszego postępowania wyjaśniającego.</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38.</w:t>
      </w:r>
      <w:r w:rsidRPr="00AE3699">
        <w:rPr>
          <w:rFonts w:asciiTheme="minorHAnsi" w:hAnsiTheme="minorHAnsi"/>
        </w:rPr>
        <w:t xml:space="preserve"> 1. Organ publiczny nie podejmuje działań następczych w przypadku, gdy w zgłoszeniu zewnętrznym dotyczącym sprawy będącej już przedmiotem wcześniejszego zgłoszenia przez tego samego lub innego zgłaszającego nie zawarto istotnych nowych informacji na temat naruszeń w porównaniu z wcześniejszym zgłoszeniem zewnętrznym. O przyczynie niepodjęcia działań organ publiczny informuje zgłaszającego, wykorzystując adres do kontaktu. </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W przypadku, o którym mowa w ust. 1, organ publiczny odnotowuje ten fakt wraz z uzasadnieniem w rejestrze, o którym mowa w art. 43.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39.</w:t>
      </w:r>
      <w:r w:rsidRPr="00AE3699">
        <w:rPr>
          <w:rFonts w:asciiTheme="minorHAnsi" w:hAnsiTheme="minorHAnsi"/>
        </w:rPr>
        <w:t xml:space="preserve"> 1. Organ publiczny przekazuje zgłaszającemu informację zwrotną w terminie nieprzekraczającym 3 miesięcy od dnia przyjęcia zgłoszenia.</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W szczególnie uzasadnionych przypadkach organ publiczny przekazuje zgłaszającemu informację zwrotną w terminie nieprzekraczającym 6 miesięcy od dnia przyjęcia zgłoszenia, po poinformowaniu o tym zgłaszającego przed upływem terminu, o którym mowa w ust. 1.  </w:t>
      </w:r>
    </w:p>
    <w:p w:rsidR="00AE3699" w:rsidRPr="00AE3699" w:rsidRDefault="00AE3699" w:rsidP="00AE3699">
      <w:pPr>
        <w:pStyle w:val="USTustnpkodeksu"/>
        <w:rPr>
          <w:rFonts w:asciiTheme="minorHAnsi" w:hAnsiTheme="minorHAnsi"/>
        </w:rPr>
      </w:pPr>
      <w:r w:rsidRPr="00AE3699">
        <w:rPr>
          <w:rFonts w:asciiTheme="minorHAnsi" w:hAnsiTheme="minorHAnsi"/>
        </w:rPr>
        <w:t>3. Organ publiczny informuje zgłaszającego także o ostatecznym wyniku postępowań wyjaśniających wszczętych na skutek zgłoszenia.</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40.</w:t>
      </w:r>
      <w:r w:rsidRPr="00AE3699">
        <w:rPr>
          <w:rFonts w:asciiTheme="minorHAnsi" w:hAnsiTheme="minorHAnsi"/>
        </w:rPr>
        <w:t xml:space="preserve"> Przyjęte przez Rzecznika Praw Obywatelskich albo organ publiczny środki komunikacji na potrzeby przyjmowania zgłoszeń zewnętrznych: </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są niezależne od sposobów komunikacji wykorzystywanych w ramach zwykłej działalności tego organu; </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zapewniają kompletność, poufność i integralność danych, w tym ich zabezpieczenie przed dostępem przez osoby nieupoważnione;</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pozwalają na przechowywanie informacji w sposób trwały w celu umożliwienia prowadzenia dalszego postępowania wyjaśniającego.</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41.</w:t>
      </w:r>
      <w:r w:rsidRPr="00AE3699">
        <w:rPr>
          <w:rFonts w:asciiTheme="minorHAnsi" w:hAnsiTheme="minorHAnsi"/>
        </w:rPr>
        <w:t xml:space="preserve"> 1. Rzecznik Praw Obywatelskich oraz organ publiczny zapewniają, aby procedura przyjmowania zgłoszeń zewnętrznych lub procedura zewnętrzna oraz związane z tym przetwarzanie danych osobowych:</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uniemożliwiały uzyskanie dostępu do informacji objętych zgłoszeniem zewnętrznym nieupoważnionym osobom;</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 xml:space="preserve">zapewniały ochronę poufności tożsamości zgłaszającego i osoby, której dotyczy zgłoszenie. </w:t>
      </w:r>
    </w:p>
    <w:p w:rsidR="00AE3699" w:rsidRPr="00AE3699" w:rsidRDefault="00AE3699" w:rsidP="00AE3699">
      <w:pPr>
        <w:pStyle w:val="USTustnpkodeksu"/>
        <w:rPr>
          <w:rFonts w:asciiTheme="minorHAnsi" w:hAnsiTheme="minorHAnsi"/>
        </w:rPr>
      </w:pPr>
      <w:r w:rsidRPr="00AE3699">
        <w:rPr>
          <w:rFonts w:asciiTheme="minorHAnsi" w:hAnsiTheme="minorHAnsi"/>
        </w:rPr>
        <w:lastRenderedPageBreak/>
        <w:t xml:space="preserve">2. Ochrona poufności, o której mowa w ust. 1 pkt 2, dotyczy informacji, na podstawie których można bezpośrednio lub pośrednio zidentyfikować tożsamość osoby dokonującej zgłoszenia oraz osoby, której dotyczy zgłoszenie.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42.</w:t>
      </w:r>
      <w:r w:rsidRPr="00AE3699">
        <w:rPr>
          <w:rFonts w:asciiTheme="minorHAnsi" w:hAnsiTheme="minorHAnsi"/>
        </w:rPr>
        <w:t xml:space="preserve"> 1. Organ publiczny upoważnia spośród pracowników urzędu obsługującego ten organ osoby uprawnione do:</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przyjmowania zgłoszeń zewnętrznych, dokonywania ich wstępnej weryfikacji, podejmowania działań następczych oraz związanego z tym przetwarzania danych osobowych;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utrzymywania kontaktu ze zgłaszającym w celu przekazywania informacji zwrotnych i zwracania się, w razie potrzeby, o wyjaśnienia lub dodatkowe informacje w zakresie przekazanych informacji, jakie mogą być w jego posiadaniu;</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przekazywania zainteresowanym osobom informacji na temat procedury zewnętrznej.</w:t>
      </w:r>
    </w:p>
    <w:p w:rsidR="00AE3699" w:rsidRPr="00AE3699" w:rsidRDefault="00AE3699" w:rsidP="00AE3699">
      <w:pPr>
        <w:pStyle w:val="USTustnpkodeksu"/>
        <w:rPr>
          <w:rFonts w:asciiTheme="minorHAnsi" w:hAnsiTheme="minorHAnsi"/>
        </w:rPr>
      </w:pPr>
      <w:r w:rsidRPr="00AE3699">
        <w:rPr>
          <w:rFonts w:asciiTheme="minorHAnsi" w:hAnsiTheme="minorHAnsi"/>
        </w:rPr>
        <w:t>2. Rzecznik Praw Obywatelskich upoważnia spośród pracowników urzędu obsługującego ten organ osoby uprawnione do:</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przyjmowania zgłoszeń zewnętrznych, dokonywania ich wstępnej weryfikacji oraz informowania zgłaszającego, zgodnie z art. 32 ust. 3 i 5;</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przekazywania zainteresowanym osobom informacji na temat procedury przyjmowania zgłoszeń zewnętrznych.</w:t>
      </w:r>
    </w:p>
    <w:p w:rsidR="00AE3699" w:rsidRPr="00AE3699" w:rsidRDefault="00AE3699" w:rsidP="00AE3699">
      <w:pPr>
        <w:pStyle w:val="USTustnpkodeksu"/>
        <w:rPr>
          <w:rFonts w:asciiTheme="minorHAnsi" w:hAnsiTheme="minorHAnsi"/>
        </w:rPr>
      </w:pPr>
      <w:r w:rsidRPr="00AE3699">
        <w:rPr>
          <w:rFonts w:asciiTheme="minorHAnsi" w:hAnsiTheme="minorHAnsi"/>
        </w:rPr>
        <w:t>3. Upoważnieni pracownicy organu publicznego albo Rzecznika Praw Obywatelskich są obowiązani do zachowania tajemnicy, także po ustaniu stosunku pracy. Informacje stanowiące tajemnicę przedsiębiorstwa mogą być wykorzystywane wyłącznie w celu podjęcia działania następczego.</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Upoważnieni pracownicy organu publicznego albo Rzecznika Praw Obywatelskich przechodzą szkolenia w zakresie, o którym mowa odpowiednio w ust. 1 albo 2. </w:t>
      </w:r>
    </w:p>
    <w:p w:rsidR="00AE3699" w:rsidRPr="00AE3699" w:rsidRDefault="00AE3699" w:rsidP="00AE3699">
      <w:pPr>
        <w:pStyle w:val="USTustnpkodeksu"/>
        <w:rPr>
          <w:rFonts w:asciiTheme="minorHAnsi" w:hAnsiTheme="minorHAnsi"/>
        </w:rPr>
      </w:pPr>
      <w:r w:rsidRPr="00AE3699">
        <w:rPr>
          <w:rFonts w:asciiTheme="minorHAnsi" w:hAnsiTheme="minorHAnsi"/>
        </w:rPr>
        <w:t>5. Jeżeli zgłoszenie zewnętrze zostało przyjęte przez nieupoważnionego pracownika organu publicznego albo Rzecznika Praw Obywatelskich, pracownik ten jest obowiązany do:</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nieujawniania informacji mogących skutkować ustaleniem tożsamości zgłaszającego lub osoby, której dotyczy zgłoszenie;</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 xml:space="preserve">niezwłocznego przekazania zgłoszenia zewnętrznego upoważnionemu pracownikowi odpowiednio organu publicznego albo Rzecznika Praw Obywatelskich, bez wprowadzania zmian w tym zgłoszeniu. </w:t>
      </w:r>
    </w:p>
    <w:p w:rsidR="00AE3699" w:rsidRPr="00AE3699" w:rsidRDefault="00AE3699" w:rsidP="00AE3699">
      <w:pPr>
        <w:pStyle w:val="USTustnpkodeksu"/>
        <w:rPr>
          <w:rFonts w:asciiTheme="minorHAnsi" w:hAnsiTheme="minorHAnsi"/>
        </w:rPr>
      </w:pPr>
      <w:r w:rsidRPr="00AE3699">
        <w:rPr>
          <w:rFonts w:asciiTheme="minorHAnsi" w:hAnsiTheme="minorHAnsi"/>
        </w:rPr>
        <w:lastRenderedPageBreak/>
        <w:t xml:space="preserve">6. Przepis ust. 5 stosuje się odpowiednio w przypadku, gdy zgłoszenie zewnętrzne otrzymano za pośrednictwem innych środków komunikacji niż przyjęte zgodnie z procedurą przyjmowania zgłoszeń zewnętrznych lub procedurą zewnętrzną.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43</w:t>
      </w:r>
      <w:r w:rsidRPr="00AE3699">
        <w:rPr>
          <w:rFonts w:asciiTheme="minorHAnsi" w:hAnsiTheme="minorHAnsi"/>
        </w:rPr>
        <w:t>. 1. Organ publiczny:</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prowadzi rejestr zgłoszeń zewnętrznych;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jest administratorem danych zgromadzonych w tym rejestrze.</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2. Wpisu do rejestru zgłoszeń zewnętrznych dokonuje się na podstawie zgłoszenia zewnętrznego. </w:t>
      </w:r>
    </w:p>
    <w:p w:rsidR="00AE3699" w:rsidRPr="00AE3699" w:rsidRDefault="00AE3699" w:rsidP="00AE3699">
      <w:pPr>
        <w:pStyle w:val="USTustnpkodeksu"/>
        <w:rPr>
          <w:rFonts w:asciiTheme="minorHAnsi" w:hAnsiTheme="minorHAnsi"/>
        </w:rPr>
      </w:pPr>
      <w:r w:rsidRPr="00AE3699">
        <w:rPr>
          <w:rFonts w:asciiTheme="minorHAnsi" w:hAnsiTheme="minorHAnsi"/>
        </w:rPr>
        <w:t>3. Rejestr zgłoszeń zewnętrznych zawiera:</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numer zgłoszenia;</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przedmiot naruszenia;</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datę dokonania zgłoszenia zewnętrznego;</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informację o podjętych działaniach następczych;</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datę zakończenia sprawy;</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informacje o niepodejmowaniu dalszych działań w przypadku, o którym mowa w art. 38 ust. 1;</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szacunkową szkodę majątkową, jeżeli została stwierdzona, oraz kwoty odzyskane w wyniku postępowań dotyczących naruszeń będących przedmiotem zgłoszenia zewnętrznego – o ile organ publiczny posiada te dane.</w:t>
      </w:r>
    </w:p>
    <w:p w:rsidR="00AE3699" w:rsidRPr="00AE3699" w:rsidRDefault="00AE3699" w:rsidP="00AE3699">
      <w:pPr>
        <w:pStyle w:val="USTustnpkodeksu"/>
        <w:rPr>
          <w:rFonts w:asciiTheme="minorHAnsi" w:hAnsiTheme="minorHAnsi"/>
        </w:rPr>
      </w:pPr>
      <w:r w:rsidRPr="00AE3699">
        <w:rPr>
          <w:rFonts w:asciiTheme="minorHAnsi" w:hAnsiTheme="minorHAnsi"/>
        </w:rPr>
        <w:t xml:space="preserve">4. Dane w rejestrze zgłoszeń zewnętrznych są przechowywane przez okres 15 miesięcy od dnia zakończenia działań następczych.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44.</w:t>
      </w:r>
      <w:r w:rsidRPr="00AE3699">
        <w:rPr>
          <w:rFonts w:asciiTheme="minorHAnsi" w:hAnsiTheme="minorHAnsi"/>
        </w:rPr>
        <w:t xml:space="preserve"> 1. Rzecznik Praw Obywatelskich:</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prowadzi rejestr zgłoszeń zewnętrznych;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jest administratorem danych zgromadzonych w tym rejestrze.</w:t>
      </w:r>
    </w:p>
    <w:p w:rsidR="00AE3699" w:rsidRPr="00AE3699" w:rsidRDefault="00AE3699" w:rsidP="00AE3699">
      <w:pPr>
        <w:pStyle w:val="USTustnpkodeksu"/>
        <w:rPr>
          <w:rFonts w:asciiTheme="minorHAnsi" w:hAnsiTheme="minorHAnsi"/>
        </w:rPr>
      </w:pPr>
      <w:r w:rsidRPr="00AE3699">
        <w:rPr>
          <w:rFonts w:asciiTheme="minorHAnsi" w:hAnsiTheme="minorHAnsi"/>
        </w:rPr>
        <w:t>2. Rejestr zgłoszeń zewnętrznych zawiera:</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numer zgłoszenia;</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przedmiot naruszenia;</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datę dokonania zgłoszenia zewnętrznego;</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wskazanie organu publicznego właściwego do podjęcia działań następczych, do którego zgłoszenie zostało przekazane oraz datę przekazania.</w:t>
      </w:r>
    </w:p>
    <w:p w:rsidR="00AE3699" w:rsidRPr="00AE3699" w:rsidRDefault="00AE3699" w:rsidP="00AE3699">
      <w:pPr>
        <w:pStyle w:val="USTustnpkodeksu"/>
        <w:rPr>
          <w:rFonts w:asciiTheme="minorHAnsi" w:hAnsiTheme="minorHAnsi"/>
        </w:rPr>
      </w:pPr>
      <w:r w:rsidRPr="00AE3699">
        <w:rPr>
          <w:rFonts w:asciiTheme="minorHAnsi" w:hAnsiTheme="minorHAnsi"/>
        </w:rPr>
        <w:lastRenderedPageBreak/>
        <w:t xml:space="preserve">3. Dane w rejestrze zgłoszeń zewnętrznych są przechowywane przez okres 12 miesięcy od dnia przekazania zgłoszenia do organu właściwego do podjęcia działań następczych.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45.</w:t>
      </w:r>
      <w:r w:rsidRPr="00AE3699">
        <w:rPr>
          <w:rFonts w:asciiTheme="minorHAnsi" w:hAnsiTheme="minorHAnsi"/>
        </w:rPr>
        <w:t xml:space="preserve"> 1. Organ publiczny za każdy rok kalendarzowy sporządza sprawozdanie, zgodne ze wzorem, o którym mowa w ust. 3, zawierające dane statystyczne dotyczące zgłoszeń zewnętrznych, obejmujące: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liczbę przyjętych zgłoszeń zewnętrznych;</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liczbę postępowań wyjaśniających i postępowań wszczętych w wyniku przyjętych zgłoszeń zewnętrznych oraz informacje na temat wyniku tych postępowań;</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 xml:space="preserve">szacunkową szkodę majątkową, jeżeli została stwierdzona, oraz kwoty odzyskane w wyniku postępowań dotyczących naruszeń będących przedmiotem zgłoszenia zewnętrznego – o ile organ publiczny posiada te dane. </w:t>
      </w:r>
    </w:p>
    <w:p w:rsidR="00AE3699" w:rsidRPr="00AE3699" w:rsidRDefault="00AE3699" w:rsidP="00AE3699">
      <w:pPr>
        <w:pStyle w:val="USTustnpkodeksu"/>
        <w:rPr>
          <w:rFonts w:asciiTheme="minorHAnsi" w:hAnsiTheme="minorHAnsi"/>
        </w:rPr>
      </w:pPr>
      <w:r w:rsidRPr="00AE3699">
        <w:rPr>
          <w:rFonts w:asciiTheme="minorHAnsi" w:hAnsiTheme="minorHAnsi"/>
        </w:rPr>
        <w:t>2. Dane statystyczne, o których mowa w ust. 1, nie obejmują danych osobowych.</w:t>
      </w:r>
    </w:p>
    <w:p w:rsidR="00AE3699" w:rsidRPr="00AE3699" w:rsidRDefault="00AE3699" w:rsidP="00AE3699">
      <w:pPr>
        <w:pStyle w:val="USTustnpkodeksu"/>
        <w:rPr>
          <w:rFonts w:asciiTheme="minorHAnsi" w:hAnsiTheme="minorHAnsi"/>
        </w:rPr>
      </w:pPr>
      <w:r w:rsidRPr="00AE3699">
        <w:rPr>
          <w:rFonts w:asciiTheme="minorHAnsi" w:hAnsiTheme="minorHAnsi"/>
        </w:rPr>
        <w:t>3. Rzecznik Praw Obywatelskich określa wzór sprawozdania, o którym mowa w ust. 1, i publikuje go na swojej stronie podmiotowej Biuletynu Informacji Publicznej.</w:t>
      </w:r>
    </w:p>
    <w:p w:rsidR="00AE3699" w:rsidRPr="00AE3699" w:rsidRDefault="00AE3699" w:rsidP="00AE3699">
      <w:pPr>
        <w:pStyle w:val="USTustnpkodeksu"/>
        <w:rPr>
          <w:rFonts w:asciiTheme="minorHAnsi" w:hAnsiTheme="minorHAnsi"/>
        </w:rPr>
      </w:pPr>
      <w:r w:rsidRPr="00AE3699">
        <w:rPr>
          <w:rFonts w:asciiTheme="minorHAnsi" w:hAnsiTheme="minorHAnsi"/>
        </w:rPr>
        <w:t>4. Sprawozdanie, o którym mowa w ust. 1, organ publiczny przekazuje do Rzecznika Praw Obywatelskich w terminie do dnia 31 marca roku następującego po roku, za jaki jest sporządzane.</w:t>
      </w:r>
    </w:p>
    <w:p w:rsidR="00AE3699" w:rsidRPr="00AE3699" w:rsidRDefault="00AE3699" w:rsidP="00AE3699">
      <w:pPr>
        <w:pStyle w:val="USTustnpkodeksu"/>
        <w:rPr>
          <w:rFonts w:asciiTheme="minorHAnsi" w:hAnsiTheme="minorHAnsi"/>
        </w:rPr>
      </w:pPr>
      <w:r w:rsidRPr="00AE3699">
        <w:rPr>
          <w:rFonts w:asciiTheme="minorHAnsi" w:hAnsiTheme="minorHAnsi"/>
        </w:rPr>
        <w:t>5. Rzecznik Praw Obywatelskich, na podstawie sprawozdań organów publicznych, sporządza sprawozdanie za dany rok kalendarzowy i przekazuje je do Komisji Europejskiej nie później niż do 31 grudnia roku następującego po roku, za jaki jest sporządzane. Sprawozdanie jest publikowane na stronie podmiotowej Biuletynu Informacji Publicznej Rzecznika Praw Obywatelskich.</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w:t>
      </w:r>
      <w:r w:rsidRPr="00AE3699">
        <w:rPr>
          <w:rFonts w:asciiTheme="minorHAnsi" w:hAnsiTheme="minorHAnsi"/>
        </w:rPr>
        <w:t xml:space="preserve"> </w:t>
      </w:r>
      <w:r w:rsidRPr="00AE3699">
        <w:rPr>
          <w:rStyle w:val="Ppogrubienie"/>
          <w:rFonts w:asciiTheme="minorHAnsi" w:hAnsiTheme="minorHAnsi"/>
        </w:rPr>
        <w:t>46.</w:t>
      </w:r>
      <w:r w:rsidRPr="00AE3699">
        <w:rPr>
          <w:rFonts w:asciiTheme="minorHAnsi" w:hAnsiTheme="minorHAnsi"/>
        </w:rPr>
        <w:t xml:space="preserve"> 1. Organ publiczny umieszcza na swojej stronie podmiotowej Biuletynu Informacji Publicznej, w oddzielnej, łatwo identyfikowalnej i dostępnej sekcji oraz w sposób zrozumiały dla zgłaszającego, informacje o:</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danych kontaktowych umożliwiających dokonanie zgłoszenia zewnętrznego, w szczególności adres do korespondencji, adres poczty elektronicznej, odrębny adres elektronicznej skrzynki podawczej, link do strony, na której znajduje się formularz internetowy lub numer telefonu;</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warunkach objęcia ochroną zgłaszającego;</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3)</w:t>
      </w:r>
      <w:r w:rsidRPr="00AE3699">
        <w:rPr>
          <w:rFonts w:asciiTheme="minorHAnsi" w:hAnsiTheme="minorHAnsi"/>
        </w:rPr>
        <w:tab/>
        <w:t xml:space="preserve">trybie postępowania mającym zastosowanie w przypadku zgłoszenia zewnętrznego, w tym o wymaganym sposobie wyjaśnienia informacji będących przedmiotem zgłoszenia lub przedstawienia dodatkowych informacji; </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terminie przekazania informacji zwrotnej oraz rodzaju i zawartości takiej informacji;</w:t>
      </w:r>
    </w:p>
    <w:p w:rsidR="00AE3699" w:rsidRPr="00AE3699" w:rsidRDefault="00AE3699" w:rsidP="00AE3699">
      <w:pPr>
        <w:pStyle w:val="PKTpunkt"/>
        <w:rPr>
          <w:rFonts w:asciiTheme="minorHAnsi" w:hAnsiTheme="minorHAnsi"/>
        </w:rPr>
      </w:pPr>
      <w:r w:rsidRPr="00AE3699">
        <w:rPr>
          <w:rFonts w:asciiTheme="minorHAnsi" w:hAnsiTheme="minorHAnsi"/>
        </w:rPr>
        <w:t>5)</w:t>
      </w:r>
      <w:r w:rsidRPr="00AE3699">
        <w:rPr>
          <w:rFonts w:asciiTheme="minorHAnsi" w:hAnsiTheme="minorHAnsi"/>
        </w:rPr>
        <w:tab/>
        <w:t xml:space="preserve">zasadach poufności mających zastosowanie do zgłoszeń zewnętrznych; </w:t>
      </w:r>
    </w:p>
    <w:p w:rsidR="00AE3699" w:rsidRPr="00AE3699" w:rsidRDefault="00AE3699" w:rsidP="00AE3699">
      <w:pPr>
        <w:pStyle w:val="PKTpunkt"/>
        <w:rPr>
          <w:rFonts w:asciiTheme="minorHAnsi" w:hAnsiTheme="minorHAnsi"/>
        </w:rPr>
      </w:pPr>
      <w:r w:rsidRPr="00AE3699">
        <w:rPr>
          <w:rFonts w:asciiTheme="minorHAnsi" w:hAnsiTheme="minorHAnsi"/>
        </w:rPr>
        <w:t>6)</w:t>
      </w:r>
      <w:r w:rsidRPr="00AE3699">
        <w:rPr>
          <w:rFonts w:asciiTheme="minorHAnsi" w:hAnsiTheme="minorHAnsi"/>
        </w:rPr>
        <w:tab/>
        <w:t>zasadach przetwarzania danych osobowych, o których mowa w art. 8, a także zasadach przetwarzania danych osobowych oraz informacji podawanych w przypadku zbierania danych od osoby, której dane dotyczą, uregulowanych odpowiednio w art. 5 i art. 13 rozporządzenia 2016/679, art. 13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uchylającej decyzję ramową Rady 2008/977/WSiSW albo art. 15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 Urz. UE L 295 z 21.11.2018, str. 39);</w:t>
      </w:r>
    </w:p>
    <w:p w:rsidR="00AE3699" w:rsidRPr="00AE3699" w:rsidRDefault="00AE3699" w:rsidP="00AE3699">
      <w:pPr>
        <w:pStyle w:val="PKTpunkt"/>
        <w:rPr>
          <w:rFonts w:asciiTheme="minorHAnsi" w:hAnsiTheme="minorHAnsi"/>
        </w:rPr>
      </w:pPr>
      <w:r w:rsidRPr="00AE3699">
        <w:rPr>
          <w:rFonts w:asciiTheme="minorHAnsi" w:hAnsiTheme="minorHAnsi"/>
        </w:rPr>
        <w:t>7)</w:t>
      </w:r>
      <w:r w:rsidRPr="00AE3699">
        <w:rPr>
          <w:rFonts w:asciiTheme="minorHAnsi" w:hAnsiTheme="minorHAnsi"/>
        </w:rPr>
        <w:tab/>
        <w:t>charakterze działań następczych podejmowanych w związku ze zgłoszeniem zewnętrznym;</w:t>
      </w:r>
    </w:p>
    <w:p w:rsidR="00AE3699" w:rsidRPr="00AE3699" w:rsidRDefault="00AE3699" w:rsidP="00AE3699">
      <w:pPr>
        <w:pStyle w:val="PKTpunkt"/>
        <w:rPr>
          <w:rFonts w:asciiTheme="minorHAnsi" w:hAnsiTheme="minorHAnsi"/>
        </w:rPr>
      </w:pPr>
      <w:r w:rsidRPr="00AE3699">
        <w:rPr>
          <w:rFonts w:asciiTheme="minorHAnsi" w:hAnsiTheme="minorHAnsi"/>
        </w:rPr>
        <w:t>8)</w:t>
      </w:r>
      <w:r w:rsidRPr="00AE3699">
        <w:rPr>
          <w:rFonts w:asciiTheme="minorHAnsi" w:hAnsiTheme="minorHAnsi"/>
        </w:rPr>
        <w:tab/>
        <w:t>środkach ochrony prawnej i procedurach służących ochronie przed działaniami odwetowymi oraz dostępności poufnej porady dla osób rozważających dokonanie zgłoszenia zewnętrznego;</w:t>
      </w:r>
    </w:p>
    <w:p w:rsidR="00AE3699" w:rsidRPr="00AE3699" w:rsidRDefault="00AE3699" w:rsidP="00AE3699">
      <w:pPr>
        <w:pStyle w:val="PKTpunkt"/>
        <w:rPr>
          <w:rFonts w:asciiTheme="minorHAnsi" w:hAnsiTheme="minorHAnsi"/>
        </w:rPr>
      </w:pPr>
      <w:r w:rsidRPr="00AE3699">
        <w:rPr>
          <w:rFonts w:asciiTheme="minorHAnsi" w:hAnsiTheme="minorHAnsi"/>
        </w:rPr>
        <w:t>9)</w:t>
      </w:r>
      <w:r w:rsidRPr="00AE3699">
        <w:rPr>
          <w:rFonts w:asciiTheme="minorHAnsi" w:hAnsiTheme="minorHAnsi"/>
        </w:rPr>
        <w:tab/>
        <w:t>oświadczeniu, w którym określa się warunki, na jakich zgłaszający jest chroniony przed ponoszeniem odpowiedzialności za naruszenie poufności, zgodnie z art. 16,</w:t>
      </w:r>
    </w:p>
    <w:p w:rsidR="00AE3699" w:rsidRPr="00AE3699" w:rsidRDefault="00AE3699" w:rsidP="00AE3699">
      <w:pPr>
        <w:pStyle w:val="PKTpunkt"/>
        <w:rPr>
          <w:rStyle w:val="Ppogrubienie"/>
          <w:rFonts w:asciiTheme="minorHAnsi" w:hAnsiTheme="minorHAnsi"/>
          <w:bCs w:val="0"/>
        </w:rPr>
      </w:pPr>
      <w:r w:rsidRPr="00AE3699">
        <w:rPr>
          <w:rFonts w:asciiTheme="minorHAnsi" w:hAnsiTheme="minorHAnsi"/>
        </w:rPr>
        <w:t>10)</w:t>
      </w:r>
      <w:r w:rsidRPr="00AE3699">
        <w:rPr>
          <w:rFonts w:asciiTheme="minorHAnsi" w:hAnsiTheme="minorHAnsi"/>
        </w:rPr>
        <w:tab/>
        <w:t>danych kontaktowych Rzecznika Praw Obywatelskich.</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47.</w:t>
      </w:r>
      <w:r w:rsidRPr="00AE3699">
        <w:rPr>
          <w:rFonts w:asciiTheme="minorHAnsi" w:hAnsiTheme="minorHAnsi"/>
        </w:rPr>
        <w:t xml:space="preserve"> 1. Mając na względzie doświadczenie w zakresie zgłoszeń zewnętrznych, przynajmniej raz na 3 lata:</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 xml:space="preserve">Rzecznik Praw Obywatelskich – dokonuje przeglądu procedury przyjmowania zgłoszeń zewnętrznych; </w:t>
      </w:r>
    </w:p>
    <w:p w:rsidR="00AE3699" w:rsidRPr="00AE3699" w:rsidRDefault="00AE3699" w:rsidP="00AE3699">
      <w:pPr>
        <w:pStyle w:val="PKTpunkt"/>
        <w:rPr>
          <w:rFonts w:asciiTheme="minorHAnsi" w:hAnsiTheme="minorHAnsi"/>
        </w:rPr>
      </w:pPr>
      <w:r w:rsidRPr="00AE3699">
        <w:rPr>
          <w:rFonts w:asciiTheme="minorHAnsi" w:hAnsiTheme="minorHAnsi"/>
        </w:rPr>
        <w:lastRenderedPageBreak/>
        <w:t>2)</w:t>
      </w:r>
      <w:r w:rsidRPr="00AE3699">
        <w:rPr>
          <w:rFonts w:asciiTheme="minorHAnsi" w:hAnsiTheme="minorHAnsi"/>
        </w:rPr>
        <w:tab/>
        <w:t>organ publiczny – dokonuje przeglądu procedury zewnętrznej.</w:t>
      </w:r>
    </w:p>
    <w:p w:rsidR="00AE3699" w:rsidRPr="00AE3699" w:rsidRDefault="00AE3699" w:rsidP="00AE3699">
      <w:pPr>
        <w:pStyle w:val="USTustnpkodeksu"/>
        <w:rPr>
          <w:rFonts w:asciiTheme="minorHAnsi" w:hAnsiTheme="minorHAnsi"/>
        </w:rPr>
      </w:pPr>
      <w:r w:rsidRPr="00AE3699">
        <w:rPr>
          <w:rFonts w:asciiTheme="minorHAnsi" w:hAnsiTheme="minorHAnsi"/>
        </w:rPr>
        <w:t>2. Rzecznik Praw Obywatelskich oraz organ publiczny dostosowują procedury, o których mowa w ust. 1, odpowiednio do wyników dokonanego przeglądu oraz nabytego doświadczenia.</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5</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Ujawnienie publiczne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48.</w:t>
      </w:r>
      <w:r w:rsidRPr="00AE3699">
        <w:rPr>
          <w:rFonts w:asciiTheme="minorHAnsi" w:hAnsiTheme="minorHAnsi"/>
        </w:rPr>
        <w:t xml:space="preserve"> 1. Zgłaszający dokonujący ujawnienia publicznego podlega ochronie, jeżeli:</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dokona zgłoszenia wewnętrznego, a następnie zgłoszenia zewnętrznego i w terminie na przekazanie informacji zwrotnej ustalonym w procedurze wewnętrznej, następnie zaś w terminie na przekazanie informacji zwrotnej ustalonym w procedurze zewnętrznej organu publicznego podmiot prawny, a następnie organ publiczny nie podejmą żadnych odpowiednich działań następczych lub nie przekażą zgłaszającemu informacji zwrotnej, lub</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 xml:space="preserve">dokona od razu zgłoszenia zewnętrznego i w terminie na przekazanie informacji zwrotnej ustalonym w procedurze zewnętrznej organu publicznego organ ten nie podejmie żadnych odpowiednich działań następczych lub nie przekaże zgłaszającemu informacji zwrotnej </w:t>
      </w:r>
    </w:p>
    <w:p w:rsidR="00AE3699" w:rsidRPr="00AE3699" w:rsidRDefault="00AE3699" w:rsidP="00AE3699">
      <w:pPr>
        <w:pStyle w:val="CZWSPPKTczwsplnapunktw"/>
        <w:rPr>
          <w:rFonts w:asciiTheme="minorHAnsi" w:hAnsiTheme="minorHAnsi"/>
        </w:rPr>
      </w:pPr>
      <w:r w:rsidRPr="00AE3699">
        <w:rPr>
          <w:rFonts w:asciiTheme="minorHAnsi" w:hAnsiTheme="minorHAnsi"/>
        </w:rPr>
        <w:t>– chyba że zgłaszający nie podał adresu do kontaktu, na który należy przekazać taką informację.</w:t>
      </w:r>
    </w:p>
    <w:p w:rsidR="00AE3699" w:rsidRPr="00AE3699" w:rsidRDefault="00AE3699" w:rsidP="00AE3699">
      <w:pPr>
        <w:pStyle w:val="USTustnpkodeksu"/>
        <w:rPr>
          <w:rFonts w:asciiTheme="minorHAnsi" w:hAnsiTheme="minorHAnsi"/>
        </w:rPr>
      </w:pPr>
      <w:r w:rsidRPr="00AE3699">
        <w:rPr>
          <w:rFonts w:asciiTheme="minorHAnsi" w:hAnsiTheme="minorHAnsi"/>
        </w:rPr>
        <w:t>2. Zgłaszający dokonujący ujawnienia publicznego podlega ochronie także w przypadku, gdy ma uzasadnione podstawy, by sądzić, że:</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naruszenie może stanowić bezpośrednie lub oczywiste zagrożenie interesu publicznego, w szczególności gdy istnieje ryzyko nieodwracalnej szkody, lub</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dokonanie zgłoszenia zewnętrznego narazi zgłaszającego na działania odwetowe, lub</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w przypadku dokonania zgłoszenia zewnętrznego istnieje niewielkie prawdopodobieństwo skutecznego przeciwdziałania naruszeniu z uwagi na szczególne okoliczności sprawy, takie jak możliwość ukrycia lub zniszczenia dowodów, istnienia zmowy między organem publicznym a sprawcą naruszenia lub udziału organu publicznego w naruszeniu.</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lastRenderedPageBreak/>
        <w:t>Art. 49.</w:t>
      </w:r>
      <w:r w:rsidRPr="00AE3699">
        <w:rPr>
          <w:rFonts w:asciiTheme="minorHAnsi" w:hAnsiTheme="minorHAnsi"/>
        </w:rPr>
        <w:t xml:space="preserve"> 1. Przy ocenie, czy działanie następcze jest odpowiednie, uwzględnia się w szczególności czynności podjęte w celu zweryfikowania informacji o naruszeniu, prawidłowość oceny informacji o naruszeniu oraz adekwatność środków podjętych w następstwie stwierdzenia naruszenia, w tym, w odpowiednim przypadku, w celu zapobiegnięcia dalszym naruszeniom, z uwzględnieniem wagi naruszenia.</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50.</w:t>
      </w:r>
      <w:r w:rsidRPr="00AE3699">
        <w:rPr>
          <w:rFonts w:asciiTheme="minorHAnsi" w:hAnsiTheme="minorHAnsi"/>
        </w:rPr>
        <w:t xml:space="preserve"> Wymogów, o których mowa w art. 48, nie stosuje się, jeżeli przekazanie informacji o naruszeniu prawa następuje bezpośrednio do prasy i stosuje się ustawę z dnia 26 stycznia 1984 r. – Prawo prasowe (Dz. U. z 2018 r. poz. 1914). </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6</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Przepisy karne</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51.</w:t>
      </w:r>
      <w:r w:rsidRPr="00AE3699">
        <w:rPr>
          <w:rFonts w:asciiTheme="minorHAnsi" w:hAnsiTheme="minorHAnsi"/>
        </w:rPr>
        <w:t xml:space="preserve"> 1. Kto utrudnia lub usiłuje utrudnić dokonanie zgłoszenia, podlega grzywnie albo karze ograniczenia wolności. </w:t>
      </w:r>
    </w:p>
    <w:p w:rsidR="00AE3699" w:rsidRPr="00AE3699" w:rsidRDefault="00AE3699" w:rsidP="00AE3699">
      <w:pPr>
        <w:pStyle w:val="USTustnpkodeksu"/>
        <w:rPr>
          <w:rFonts w:asciiTheme="minorHAnsi" w:hAnsiTheme="minorHAnsi"/>
        </w:rPr>
      </w:pPr>
      <w:r w:rsidRPr="00AE3699">
        <w:rPr>
          <w:rFonts w:asciiTheme="minorHAnsi" w:hAnsiTheme="minorHAnsi"/>
        </w:rPr>
        <w:t>2. Kto, w przypadku o którym mowa w ust. 1, stosuje przemoc, groźbę lub podstęp, podlega grzywnie, karze ograniczenia wolności albo pozbawienia wolności do lat 2.</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52.</w:t>
      </w:r>
      <w:r w:rsidRPr="00AE3699">
        <w:rPr>
          <w:rFonts w:asciiTheme="minorHAnsi" w:hAnsiTheme="minorHAnsi"/>
        </w:rPr>
        <w:t xml:space="preserve"> 1. Kto wbrew przepisowi art. 11 podejmuje działania odwetowe wobec osoby, która dokonała zgłoszenia lub ujawnienia publicznego, lub osób, o których mowa w art. 21, podlega grzywnie lub karze ograniczenia wolności albo pozbawienia wolności do lat 2.</w:t>
      </w:r>
    </w:p>
    <w:p w:rsidR="00AE3699" w:rsidRPr="00AE3699" w:rsidRDefault="00AE3699" w:rsidP="00AE3699">
      <w:pPr>
        <w:pStyle w:val="USTustnpkodeksu"/>
        <w:rPr>
          <w:rFonts w:asciiTheme="minorHAnsi" w:hAnsiTheme="minorHAnsi"/>
        </w:rPr>
      </w:pPr>
      <w:r w:rsidRPr="00AE3699">
        <w:rPr>
          <w:rFonts w:asciiTheme="minorHAnsi" w:hAnsiTheme="minorHAnsi"/>
        </w:rPr>
        <w:t>2. Kto, w przypadku o którym mowa w ust. 1, stosuje łącznie więcej niż 2 działania odwetowe wymienione w art. 12 ust. 1, podlega karze pozbawienia wolności do lat 3.</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53.</w:t>
      </w:r>
      <w:r w:rsidRPr="00AE3699">
        <w:rPr>
          <w:rFonts w:asciiTheme="minorHAnsi" w:hAnsiTheme="minorHAnsi"/>
        </w:rPr>
        <w:t xml:space="preserve"> Kto wbrew przepisom art. 27 ust. 1 lub art. 41 narusza obowiązek zachowania poufności tożsamości osoby, która dokonała zgłoszenia, lub osób, o których mowa w art. 21, podlega grzywnie, karze ograniczenia wolności albo pozbawienia wolności do roku.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54.</w:t>
      </w:r>
      <w:r w:rsidRPr="00AE3699">
        <w:rPr>
          <w:rFonts w:asciiTheme="minorHAnsi" w:hAnsiTheme="minorHAnsi"/>
        </w:rPr>
        <w:t xml:space="preserve"> Kto świadomie dokonał zgłoszenia lub ujawnienia publicznego nieprawdziwych informacji lub pomógł w dokonaniu zgłoszenia nieprawdziwych informacji, podlega grzywnie, karze ograniczenia wolności lub pozbawienia wolności do lat 3.</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55.</w:t>
      </w:r>
      <w:r w:rsidRPr="00AE3699">
        <w:rPr>
          <w:rFonts w:asciiTheme="minorHAnsi" w:hAnsiTheme="minorHAnsi"/>
        </w:rPr>
        <w:t xml:space="preserve"> Kto wbrew przepisom art. 24 ustawy nie ustanowił procedury wewnętrznej albo ustanowiona procedura wewnętrzna narusza art. 25 ust. 1, podlega karze grzywny. </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lastRenderedPageBreak/>
        <w:t>Rozdział 7</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Przepis zmieniający</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56.</w:t>
      </w:r>
      <w:r w:rsidRPr="00AE3699">
        <w:rPr>
          <w:rFonts w:asciiTheme="minorHAnsi" w:hAnsiTheme="minorHAnsi"/>
        </w:rPr>
        <w:t xml:space="preserve"> W ustawie z dnia 15 lipca 1987 r. o Rzeczniku Praw Obywatelskich (Dz. U. z 2020 r. </w:t>
      </w:r>
      <w:hyperlink r:id="rId6" w:history="1">
        <w:r w:rsidRPr="00AE3699">
          <w:rPr>
            <w:rStyle w:val="Hipercze"/>
            <w:rFonts w:asciiTheme="minorHAnsi" w:hAnsiTheme="minorHAnsi"/>
            <w:color w:val="auto"/>
            <w:u w:val="none"/>
          </w:rPr>
          <w:t>poz. 627</w:t>
        </w:r>
      </w:hyperlink>
      <w:r w:rsidRPr="00AE3699">
        <w:rPr>
          <w:rFonts w:asciiTheme="minorHAnsi" w:hAnsiTheme="minorHAnsi"/>
        </w:rPr>
        <w:t> oraz z 2021 r. </w:t>
      </w:r>
      <w:hyperlink r:id="rId7" w:history="1">
        <w:r w:rsidRPr="00AE3699">
          <w:rPr>
            <w:rStyle w:val="Hipercze"/>
            <w:rFonts w:asciiTheme="minorHAnsi" w:hAnsiTheme="minorHAnsi"/>
            <w:color w:val="auto"/>
            <w:u w:val="none"/>
          </w:rPr>
          <w:t>poz. 696</w:t>
        </w:r>
      </w:hyperlink>
      <w:r w:rsidRPr="00AE3699">
        <w:rPr>
          <w:rFonts w:asciiTheme="minorHAnsi" w:hAnsiTheme="minorHAnsi"/>
        </w:rPr>
        <w:t>) w </w:t>
      </w:r>
      <w:hyperlink r:id="rId8" w:history="1">
        <w:r w:rsidRPr="00AE3699">
          <w:rPr>
            <w:rStyle w:val="Hipercze"/>
            <w:rFonts w:asciiTheme="minorHAnsi" w:hAnsiTheme="minorHAnsi"/>
            <w:color w:val="auto"/>
            <w:u w:val="none"/>
          </w:rPr>
          <w:t>art. 1</w:t>
        </w:r>
      </w:hyperlink>
      <w:r w:rsidRPr="00AE3699">
        <w:rPr>
          <w:rFonts w:asciiTheme="minorHAnsi" w:hAnsiTheme="minorHAnsi"/>
        </w:rPr>
        <w:t> dodaje się </w:t>
      </w:r>
      <w:hyperlink r:id="rId9" w:history="1">
        <w:r w:rsidRPr="00AE3699">
          <w:rPr>
            <w:rStyle w:val="Hipercze"/>
            <w:rFonts w:asciiTheme="minorHAnsi" w:hAnsiTheme="minorHAnsi"/>
            <w:color w:val="auto"/>
            <w:u w:val="none"/>
          </w:rPr>
          <w:t>ust. 5</w:t>
        </w:r>
      </w:hyperlink>
      <w:r w:rsidRPr="00AE3699">
        <w:rPr>
          <w:rFonts w:asciiTheme="minorHAnsi" w:hAnsiTheme="minorHAnsi"/>
        </w:rPr>
        <w:t> w brzmieniu:</w:t>
      </w:r>
    </w:p>
    <w:p w:rsidR="00AE3699" w:rsidRPr="00AE3699" w:rsidRDefault="00AE3699" w:rsidP="00AE3699">
      <w:pPr>
        <w:pStyle w:val="ZUSTzmustartykuempunktem"/>
        <w:rPr>
          <w:rFonts w:asciiTheme="minorHAnsi" w:hAnsiTheme="minorHAnsi"/>
        </w:rPr>
      </w:pPr>
      <w:r w:rsidRPr="00AE3699">
        <w:rPr>
          <w:rFonts w:asciiTheme="minorHAnsi" w:hAnsiTheme="minorHAnsi"/>
        </w:rPr>
        <w:t>„5. Rzecznik wykonuje zadania określone w ustawie z dnia .... 2021 r. o ochronie osób zgłaszających naruszenia prawa (Dz. U. .... poz. ...). „.</w:t>
      </w:r>
    </w:p>
    <w:p w:rsidR="00AE3699" w:rsidRPr="00AE3699" w:rsidRDefault="00AE3699" w:rsidP="00AE3699">
      <w:pPr>
        <w:pStyle w:val="ROZDZODDZOZNoznaczenierozdziauluboddziau"/>
        <w:rPr>
          <w:rFonts w:asciiTheme="minorHAnsi" w:hAnsiTheme="minorHAnsi"/>
        </w:rPr>
      </w:pPr>
      <w:r w:rsidRPr="00AE3699">
        <w:rPr>
          <w:rFonts w:asciiTheme="minorHAnsi" w:hAnsiTheme="minorHAnsi"/>
        </w:rPr>
        <w:t>Rozdział 8</w:t>
      </w:r>
    </w:p>
    <w:p w:rsidR="00AE3699" w:rsidRPr="00AE3699" w:rsidRDefault="00AE3699" w:rsidP="00AE3699">
      <w:pPr>
        <w:pStyle w:val="ROZDZODDZPRZEDMprzedmiotregulacjirozdziauluboddziau"/>
        <w:rPr>
          <w:rFonts w:asciiTheme="minorHAnsi" w:hAnsiTheme="minorHAnsi"/>
        </w:rPr>
      </w:pPr>
      <w:r w:rsidRPr="00AE3699">
        <w:rPr>
          <w:rFonts w:asciiTheme="minorHAnsi" w:hAnsiTheme="minorHAnsi"/>
        </w:rPr>
        <w:t>Przepis dostosowujący i końcowy</w:t>
      </w:r>
    </w:p>
    <w:p w:rsidR="00AE3699" w:rsidRPr="00AE3699" w:rsidRDefault="00AE3699" w:rsidP="00AE3699">
      <w:pPr>
        <w:pStyle w:val="ARTartustawynprozporzdzenia"/>
        <w:rPr>
          <w:rStyle w:val="Ppogrubienie"/>
          <w:rFonts w:asciiTheme="minorHAnsi" w:hAnsiTheme="minorHAnsi"/>
        </w:rPr>
      </w:pPr>
      <w:r w:rsidRPr="00AE3699">
        <w:rPr>
          <w:rStyle w:val="Ppogrubienie"/>
          <w:rFonts w:asciiTheme="minorHAnsi" w:hAnsiTheme="minorHAnsi"/>
        </w:rPr>
        <w:t>Art. 57.</w:t>
      </w:r>
      <w:r w:rsidRPr="00AE3699">
        <w:rPr>
          <w:rFonts w:asciiTheme="minorHAnsi" w:hAnsiTheme="minorHAnsi"/>
        </w:rPr>
        <w:t xml:space="preserve"> Sprawozdania, o których mowa w art. 45 ust. 1 i 5, za rok 2022 Rzecznik Praw Obywatelskich oraz organ publiczny sporządzają za okres od dnia rozpoczęcia przyjmowania zgłoszeń zewnętrznych.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58.</w:t>
      </w:r>
      <w:r w:rsidRPr="00AE3699">
        <w:rPr>
          <w:rFonts w:asciiTheme="minorHAnsi" w:hAnsiTheme="minorHAnsi"/>
        </w:rPr>
        <w:t xml:space="preserve"> 1. Realizacja obowiązku ustalenia procedury wewnętrznej przez podmioty prywatne, na rzecz których wykonuje pracę co najmniej 50 i mniej niż 250 osób, następuje do dnia 17 grudnia 2023 r. </w:t>
      </w:r>
    </w:p>
    <w:p w:rsidR="00AE3699" w:rsidRPr="00AE3699" w:rsidRDefault="00AE3699" w:rsidP="00AE3699">
      <w:pPr>
        <w:pStyle w:val="ARTartustawynprozporzdzenia"/>
        <w:rPr>
          <w:rFonts w:asciiTheme="minorHAnsi" w:hAnsiTheme="minorHAnsi"/>
        </w:rPr>
      </w:pPr>
      <w:r w:rsidRPr="00AE3699">
        <w:rPr>
          <w:rFonts w:asciiTheme="minorHAnsi" w:hAnsiTheme="minorHAnsi"/>
        </w:rPr>
        <w:t xml:space="preserve">2. Przepisu ust. 1 nie stosuje się do podmiotów prywatnych, o których mowa w art. 23 ust. 2. </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59.</w:t>
      </w:r>
      <w:r w:rsidRPr="00AE3699">
        <w:rPr>
          <w:rFonts w:asciiTheme="minorHAnsi" w:hAnsiTheme="minorHAnsi"/>
        </w:rPr>
        <w:t xml:space="preserve"> Realizacja obowiązku ustalenia:</w:t>
      </w:r>
    </w:p>
    <w:p w:rsidR="00AE3699" w:rsidRPr="00AE3699" w:rsidRDefault="00AE3699" w:rsidP="00AE3699">
      <w:pPr>
        <w:pStyle w:val="PKTpunkt"/>
        <w:rPr>
          <w:rFonts w:asciiTheme="minorHAnsi" w:hAnsiTheme="minorHAnsi"/>
        </w:rPr>
      </w:pPr>
      <w:r w:rsidRPr="00AE3699">
        <w:rPr>
          <w:rFonts w:asciiTheme="minorHAnsi" w:hAnsiTheme="minorHAnsi"/>
        </w:rPr>
        <w:t>1)</w:t>
      </w:r>
      <w:r w:rsidRPr="00AE3699">
        <w:rPr>
          <w:rFonts w:asciiTheme="minorHAnsi" w:hAnsiTheme="minorHAnsi"/>
        </w:rPr>
        <w:tab/>
        <w:t>procedury wewnętrznej przez podmioty prywatne, na rzecz których wykonuje pracę co najmniej 250 osób,</w:t>
      </w:r>
    </w:p>
    <w:p w:rsidR="00AE3699" w:rsidRPr="00AE3699" w:rsidRDefault="00AE3699" w:rsidP="00AE3699">
      <w:pPr>
        <w:pStyle w:val="PKTpunkt"/>
        <w:rPr>
          <w:rFonts w:asciiTheme="minorHAnsi" w:hAnsiTheme="minorHAnsi"/>
        </w:rPr>
      </w:pPr>
      <w:r w:rsidRPr="00AE3699">
        <w:rPr>
          <w:rFonts w:asciiTheme="minorHAnsi" w:hAnsiTheme="minorHAnsi"/>
        </w:rPr>
        <w:t>2)</w:t>
      </w:r>
      <w:r w:rsidRPr="00AE3699">
        <w:rPr>
          <w:rFonts w:asciiTheme="minorHAnsi" w:hAnsiTheme="minorHAnsi"/>
        </w:rPr>
        <w:tab/>
        <w:t>procedury wewnętrznej przez podmioty prywatne, o których mowa w art. 23 ust. 2,</w:t>
      </w:r>
    </w:p>
    <w:p w:rsidR="00AE3699" w:rsidRPr="00AE3699" w:rsidRDefault="00AE3699" w:rsidP="00AE3699">
      <w:pPr>
        <w:pStyle w:val="PKTpunkt"/>
        <w:rPr>
          <w:rFonts w:asciiTheme="minorHAnsi" w:hAnsiTheme="minorHAnsi"/>
        </w:rPr>
      </w:pPr>
      <w:r w:rsidRPr="00AE3699">
        <w:rPr>
          <w:rFonts w:asciiTheme="minorHAnsi" w:hAnsiTheme="minorHAnsi"/>
        </w:rPr>
        <w:t>3)</w:t>
      </w:r>
      <w:r w:rsidRPr="00AE3699">
        <w:rPr>
          <w:rFonts w:asciiTheme="minorHAnsi" w:hAnsiTheme="minorHAnsi"/>
        </w:rPr>
        <w:tab/>
        <w:t>procedury wewnętrznej przez podmioty publiczne,</w:t>
      </w:r>
    </w:p>
    <w:p w:rsidR="00AE3699" w:rsidRPr="00AE3699" w:rsidRDefault="00AE3699" w:rsidP="00AE3699">
      <w:pPr>
        <w:pStyle w:val="PKTpunkt"/>
        <w:rPr>
          <w:rFonts w:asciiTheme="minorHAnsi" w:hAnsiTheme="minorHAnsi"/>
        </w:rPr>
      </w:pPr>
      <w:r w:rsidRPr="00AE3699">
        <w:rPr>
          <w:rFonts w:asciiTheme="minorHAnsi" w:hAnsiTheme="minorHAnsi"/>
        </w:rPr>
        <w:t>4)</w:t>
      </w:r>
      <w:r w:rsidRPr="00AE3699">
        <w:rPr>
          <w:rFonts w:asciiTheme="minorHAnsi" w:hAnsiTheme="minorHAnsi"/>
        </w:rPr>
        <w:tab/>
        <w:t xml:space="preserve">procedury przyjmowania zgłoszeń zewnętrznych albo procedury zewnętrznej przez Rzecznika Praw Obywatelskich albo organ publiczny </w:t>
      </w:r>
    </w:p>
    <w:p w:rsidR="00AE3699" w:rsidRPr="00AE3699" w:rsidRDefault="00AE3699" w:rsidP="00AE3699">
      <w:pPr>
        <w:pStyle w:val="CZWSPPKTczwsplnapunktw"/>
        <w:rPr>
          <w:rFonts w:asciiTheme="minorHAnsi" w:hAnsiTheme="minorHAnsi"/>
        </w:rPr>
      </w:pPr>
      <w:r w:rsidRPr="00AE3699">
        <w:rPr>
          <w:rFonts w:asciiTheme="minorHAnsi" w:hAnsiTheme="minorHAnsi"/>
        </w:rPr>
        <w:t>– następuje w terminie 1 miesiąca od dnia wejścia w życie ustawy.</w:t>
      </w:r>
    </w:p>
    <w:p w:rsidR="00AE3699" w:rsidRPr="00AE3699" w:rsidRDefault="00AE3699" w:rsidP="00AE3699">
      <w:pPr>
        <w:pStyle w:val="ARTartustawynprozporzdzenia"/>
        <w:rPr>
          <w:rFonts w:asciiTheme="minorHAnsi" w:hAnsiTheme="minorHAnsi"/>
        </w:rPr>
      </w:pPr>
      <w:r w:rsidRPr="00AE3699">
        <w:rPr>
          <w:rStyle w:val="Ppogrubienie"/>
          <w:rFonts w:asciiTheme="minorHAnsi" w:hAnsiTheme="minorHAnsi"/>
        </w:rPr>
        <w:t>Art. 60.</w:t>
      </w:r>
      <w:r w:rsidRPr="00AE3699">
        <w:rPr>
          <w:rFonts w:asciiTheme="minorHAnsi" w:hAnsiTheme="minorHAnsi"/>
        </w:rPr>
        <w:t xml:space="preserve"> Ustawa wchodzi w życie po upływie 2 miesięcy od dnia ogłoszenia. </w:t>
      </w:r>
    </w:p>
    <w:p w:rsidR="00AE3699" w:rsidRPr="00AE3699" w:rsidRDefault="00AE3699" w:rsidP="00AE3699">
      <w:pPr>
        <w:pStyle w:val="ARTartustawynprozporzdzenia"/>
        <w:rPr>
          <w:rFonts w:asciiTheme="minorHAnsi" w:hAnsiTheme="minorHAnsi"/>
        </w:rPr>
      </w:pPr>
    </w:p>
    <w:p w:rsidR="00AE3699" w:rsidRPr="00AE3699" w:rsidRDefault="00AE3699" w:rsidP="00AE3699">
      <w:pPr>
        <w:pStyle w:val="OZNPARAFYADNOTACJE"/>
        <w:rPr>
          <w:rFonts w:asciiTheme="minorHAnsi" w:hAnsiTheme="minorHAnsi"/>
        </w:rPr>
      </w:pPr>
      <w:r w:rsidRPr="00AE3699">
        <w:rPr>
          <w:rFonts w:asciiTheme="minorHAnsi" w:hAnsiTheme="minorHAnsi"/>
        </w:rPr>
        <w:t>Za zgodność pod względem prawnym, legislacyjnym i redakcyjnym</w:t>
      </w:r>
    </w:p>
    <w:p w:rsidR="00AE3699" w:rsidRPr="00AE3699" w:rsidRDefault="00AE3699" w:rsidP="00AE3699">
      <w:pPr>
        <w:pStyle w:val="OZNPARAFYADNOTACJE"/>
        <w:rPr>
          <w:rFonts w:asciiTheme="minorHAnsi" w:hAnsiTheme="minorHAnsi"/>
        </w:rPr>
      </w:pPr>
      <w:r w:rsidRPr="00AE3699">
        <w:rPr>
          <w:rFonts w:asciiTheme="minorHAnsi" w:hAnsiTheme="minorHAnsi"/>
        </w:rPr>
        <w:t xml:space="preserve">                                   Iwona Szulc</w:t>
      </w:r>
    </w:p>
    <w:p w:rsidR="00AE3699" w:rsidRPr="00AE3699" w:rsidRDefault="00AE3699" w:rsidP="00AE3699">
      <w:pPr>
        <w:pStyle w:val="OZNPARAFYADNOTACJE"/>
        <w:rPr>
          <w:rFonts w:asciiTheme="minorHAnsi" w:hAnsiTheme="minorHAnsi"/>
        </w:rPr>
      </w:pPr>
      <w:r w:rsidRPr="00AE3699">
        <w:rPr>
          <w:rFonts w:asciiTheme="minorHAnsi" w:hAnsiTheme="minorHAnsi"/>
        </w:rPr>
        <w:t xml:space="preserve">                 Dyrektor Departamentu Prawnego </w:t>
      </w:r>
    </w:p>
    <w:p w:rsidR="00AE3699" w:rsidRPr="00AE3699" w:rsidRDefault="00AE3699" w:rsidP="00AE3699">
      <w:pPr>
        <w:pStyle w:val="OZNPARAFYADNOTACJE"/>
        <w:rPr>
          <w:rFonts w:asciiTheme="minorHAnsi" w:hAnsiTheme="minorHAnsi"/>
        </w:rPr>
      </w:pPr>
      <w:r w:rsidRPr="00AE3699">
        <w:rPr>
          <w:rFonts w:asciiTheme="minorHAnsi" w:hAnsiTheme="minorHAnsi"/>
        </w:rPr>
        <w:t xml:space="preserve">          w Ministerstwie Rodziny i Polityki Społecznej</w:t>
      </w:r>
    </w:p>
    <w:p w:rsidR="00AE3699" w:rsidRPr="00AE3699" w:rsidRDefault="00AE3699" w:rsidP="00AE3699">
      <w:pPr>
        <w:pStyle w:val="OZNPARAFYADNOTACJE"/>
        <w:rPr>
          <w:rFonts w:asciiTheme="minorHAnsi" w:hAnsiTheme="minorHAnsi"/>
        </w:rPr>
      </w:pPr>
      <w:r w:rsidRPr="00AE3699">
        <w:rPr>
          <w:rFonts w:asciiTheme="minorHAnsi" w:hAnsiTheme="minorHAnsi"/>
        </w:rPr>
        <w:lastRenderedPageBreak/>
        <w:t xml:space="preserve">                           /-podpisano elektronicznie/</w:t>
      </w:r>
    </w:p>
    <w:p w:rsidR="000A7307" w:rsidRPr="00AE3699" w:rsidRDefault="000A7307"/>
    <w:sectPr w:rsidR="000A7307" w:rsidRPr="00AE3699" w:rsidSect="001A7F15">
      <w:headerReference w:type="default" r:id="rId10"/>
      <w:foot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C8" w:rsidRDefault="00F02FC8" w:rsidP="00AE3699">
      <w:pPr>
        <w:spacing w:after="0" w:line="240" w:lineRule="auto"/>
      </w:pPr>
      <w:r>
        <w:separator/>
      </w:r>
    </w:p>
  </w:endnote>
  <w:endnote w:type="continuationSeparator" w:id="0">
    <w:p w:rsidR="00F02FC8" w:rsidRDefault="00F02FC8" w:rsidP="00AE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19" w:rsidRDefault="00F02F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C8" w:rsidRDefault="00F02FC8" w:rsidP="00AE3699">
      <w:pPr>
        <w:spacing w:after="0" w:line="240" w:lineRule="auto"/>
      </w:pPr>
      <w:r>
        <w:separator/>
      </w:r>
    </w:p>
  </w:footnote>
  <w:footnote w:type="continuationSeparator" w:id="0">
    <w:p w:rsidR="00F02FC8" w:rsidRDefault="00F02FC8" w:rsidP="00AE3699">
      <w:pPr>
        <w:spacing w:after="0" w:line="240" w:lineRule="auto"/>
      </w:pPr>
      <w:r>
        <w:continuationSeparator/>
      </w:r>
    </w:p>
  </w:footnote>
  <w:footnote w:id="1">
    <w:p w:rsidR="00AE3699" w:rsidRDefault="00AE3699" w:rsidP="00AE3699">
      <w:pPr>
        <w:pStyle w:val="ODNONIKtreodnonika"/>
      </w:pPr>
      <w:r>
        <w:rPr>
          <w:rStyle w:val="Odwoanieprzypisudolnego"/>
        </w:rPr>
        <w:footnoteRef/>
      </w:r>
      <w:r w:rsidRPr="00F11D51">
        <w:rPr>
          <w:rStyle w:val="IGindeksgrny"/>
        </w:rPr>
        <w:t>)</w:t>
      </w:r>
      <w:r>
        <w:rPr>
          <w:rStyle w:val="IGindeksgrny"/>
        </w:rPr>
        <w:tab/>
      </w:r>
      <w:r w:rsidRPr="002C5343">
        <w:t>Niniejsza ustawa w zakre</w:t>
      </w:r>
      <w:r>
        <w:t>sie swojej regulacji wdraża d</w:t>
      </w:r>
      <w:r w:rsidRPr="002C5343">
        <w:t>yrektyw</w:t>
      </w:r>
      <w:r>
        <w:t>ę</w:t>
      </w:r>
      <w:r w:rsidRPr="002C5343">
        <w:t xml:space="preserve"> Parlamentu Europejskiego i Rady (UE) 2019/1937 z dnia 23 października 2019 r. w sprawie ochrony osób zgłaszających naruszenia </w:t>
      </w:r>
      <w:r>
        <w:t xml:space="preserve">prawa </w:t>
      </w:r>
      <w:r w:rsidRPr="002C5343">
        <w:t>Unii (Dz. Urz. UE L 305 z 26.11.2019, str. 17</w:t>
      </w:r>
      <w:r>
        <w:t xml:space="preserve"> oraz</w:t>
      </w:r>
      <w:r w:rsidRPr="00F5346A">
        <w:t xml:space="preserve"> Dz. Urz. UE L 347 z 20.10.2020, str. 1</w:t>
      </w:r>
      <w:r w:rsidRPr="002C5343">
        <w:t>)</w:t>
      </w:r>
      <w:r>
        <w:t>.</w:t>
      </w:r>
    </w:p>
  </w:footnote>
  <w:footnote w:id="2">
    <w:p w:rsidR="00AE3699" w:rsidRPr="00613A49" w:rsidRDefault="00AE3699" w:rsidP="00AE3699">
      <w:pPr>
        <w:pStyle w:val="ODNONIKtreodnonika"/>
      </w:pPr>
      <w:r>
        <w:rPr>
          <w:rStyle w:val="Odwoanieprzypisudolnego"/>
        </w:rPr>
        <w:footnoteRef/>
      </w:r>
      <w:r>
        <w:rPr>
          <w:rStyle w:val="IGindeksgrny"/>
        </w:rPr>
        <w:t>)</w:t>
      </w:r>
      <w:r>
        <w:tab/>
        <w:t xml:space="preserve">Niniejszą ustawą zmienia się ustawę </w:t>
      </w:r>
      <w:r w:rsidRPr="00857526">
        <w:t>z dnia 15 lipca 1987 r. o Rzeczniku Praw Obywatelskich</w:t>
      </w:r>
      <w:r>
        <w:t>.</w:t>
      </w:r>
    </w:p>
  </w:footnote>
  <w:footnote w:id="3">
    <w:p w:rsidR="00AE3699" w:rsidRPr="00346F20" w:rsidRDefault="00AE3699" w:rsidP="00AE3699">
      <w:pPr>
        <w:pStyle w:val="ODNONIKtreodnonika"/>
      </w:pPr>
      <w:r>
        <w:rPr>
          <w:rStyle w:val="Odwoanieprzypisudolnego"/>
        </w:rPr>
        <w:footnoteRef/>
      </w:r>
      <w:r>
        <w:rPr>
          <w:rStyle w:val="IGindeksgrny"/>
        </w:rPr>
        <w:t>)</w:t>
      </w:r>
      <w:r>
        <w:tab/>
      </w:r>
      <w:r w:rsidRPr="003E1233">
        <w:t>Zmiany wymienionego rozporządzenia zostały ogłoszone w Dz.</w:t>
      </w:r>
      <w:r>
        <w:t xml:space="preserve"> </w:t>
      </w:r>
      <w:r w:rsidRPr="003E1233">
        <w:t xml:space="preserve">Urz. UE L 127 z 23.05.2018, str. 2 </w:t>
      </w:r>
      <w:r>
        <w:t>oraz</w:t>
      </w:r>
      <w:r w:rsidRPr="003E1233">
        <w:t xml:space="preserve"> Dz.</w:t>
      </w:r>
      <w:r>
        <w:t xml:space="preserve"> </w:t>
      </w:r>
      <w:r w:rsidRPr="003E1233">
        <w:t>Urz. UE L 74 z 04.03.2021, str.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19" w:rsidRPr="00B371CC" w:rsidRDefault="00F02FC8" w:rsidP="00B371CC">
    <w:pPr>
      <w:pStyle w:val="Nagwek"/>
      <w:jc w:val="center"/>
    </w:pPr>
    <w:r>
      <w:t xml:space="preserve">– </w:t>
    </w:r>
    <w:r>
      <w:fldChar w:fldCharType="begin"/>
    </w:r>
    <w:r>
      <w:instrText xml:space="preserve"> PAGE  \* MERGEFORMAT </w:instrText>
    </w:r>
    <w:r>
      <w:fldChar w:fldCharType="separate"/>
    </w:r>
    <w:r w:rsidR="00AE3699">
      <w:rPr>
        <w:noProof/>
      </w:rPr>
      <w:t>21</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99"/>
    <w:rsid w:val="000A7307"/>
    <w:rsid w:val="00AE3699"/>
    <w:rsid w:val="00F02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1A47-272C-4037-9967-D0F09A49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699"/>
    <w:pPr>
      <w:spacing w:after="200" w:line="276" w:lineRule="auto"/>
    </w:pPr>
    <w:rPr>
      <w:rFonts w:eastAsiaTheme="minorEastAsia"/>
      <w:lang w:eastAsia="pl-PL"/>
    </w:rPr>
  </w:style>
  <w:style w:type="paragraph" w:styleId="Nagwek1">
    <w:name w:val="heading 1"/>
    <w:basedOn w:val="Normalny"/>
    <w:next w:val="Normalny"/>
    <w:link w:val="Nagwek1Znak"/>
    <w:uiPriority w:val="99"/>
    <w:rsid w:val="00AE3699"/>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E3699"/>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AE3699"/>
    <w:pPr>
      <w:ind w:left="1497"/>
    </w:pPr>
  </w:style>
  <w:style w:type="paragraph" w:customStyle="1" w:styleId="LITlitera">
    <w:name w:val="LIT – litera"/>
    <w:basedOn w:val="PKTpunkt"/>
    <w:uiPriority w:val="14"/>
    <w:qFormat/>
    <w:rsid w:val="00AE3699"/>
    <w:pPr>
      <w:ind w:left="986" w:hanging="476"/>
    </w:pPr>
  </w:style>
  <w:style w:type="paragraph" w:customStyle="1" w:styleId="PKTpunkt">
    <w:name w:val="PKT – punkt"/>
    <w:uiPriority w:val="13"/>
    <w:qFormat/>
    <w:rsid w:val="00AE3699"/>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AE3699"/>
    <w:pPr>
      <w:ind w:left="1894"/>
    </w:pPr>
  </w:style>
  <w:style w:type="paragraph" w:customStyle="1" w:styleId="TIRtiret">
    <w:name w:val="TIR – tiret"/>
    <w:basedOn w:val="LITlitera"/>
    <w:uiPriority w:val="15"/>
    <w:qFormat/>
    <w:rsid w:val="00AE3699"/>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AE3699"/>
    <w:pPr>
      <w:ind w:left="1021"/>
    </w:pPr>
  </w:style>
  <w:style w:type="paragraph" w:customStyle="1" w:styleId="CZWSPLITczwsplnaliter">
    <w:name w:val="CZ_WSP_LIT – część wspólna liter"/>
    <w:basedOn w:val="LITlitera"/>
    <w:next w:val="USTustnpkodeksu"/>
    <w:uiPriority w:val="17"/>
    <w:qFormat/>
    <w:rsid w:val="00AE3699"/>
    <w:pPr>
      <w:ind w:left="510" w:firstLine="0"/>
    </w:pPr>
    <w:rPr>
      <w:szCs w:val="24"/>
    </w:rPr>
  </w:style>
  <w:style w:type="paragraph" w:customStyle="1" w:styleId="USTustnpkodeksu">
    <w:name w:val="UST(§) – ust. (§ np. kodeksu)"/>
    <w:basedOn w:val="ARTartustawynprozporzdzenia"/>
    <w:uiPriority w:val="12"/>
    <w:qFormat/>
    <w:rsid w:val="00AE3699"/>
    <w:pPr>
      <w:spacing w:before="0"/>
    </w:pPr>
    <w:rPr>
      <w:bCs/>
    </w:rPr>
  </w:style>
  <w:style w:type="paragraph" w:customStyle="1" w:styleId="ARTartustawynprozporzdzenia">
    <w:name w:val="ART(§) – art. ustawy (§ np. rozporządzenia)"/>
    <w:uiPriority w:val="11"/>
    <w:qFormat/>
    <w:rsid w:val="00AE369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AE3699"/>
    <w:pPr>
      <w:spacing w:before="0"/>
      <w:ind w:left="510"/>
    </w:pPr>
  </w:style>
  <w:style w:type="paragraph" w:customStyle="1" w:styleId="2TIRpodwjnytiret">
    <w:name w:val="2TIR – podwójny tiret"/>
    <w:basedOn w:val="TIRtiret"/>
    <w:uiPriority w:val="73"/>
    <w:qFormat/>
    <w:rsid w:val="00AE3699"/>
    <w:pPr>
      <w:ind w:left="1780"/>
    </w:pPr>
  </w:style>
  <w:style w:type="character" w:styleId="Odwoanieprzypisudolnego">
    <w:name w:val="footnote reference"/>
    <w:uiPriority w:val="99"/>
    <w:semiHidden/>
    <w:rsid w:val="00AE3699"/>
    <w:rPr>
      <w:rFonts w:cs="Times New Roman"/>
      <w:vertAlign w:val="superscript"/>
    </w:rPr>
  </w:style>
  <w:style w:type="paragraph" w:styleId="Nagwek">
    <w:name w:val="header"/>
    <w:basedOn w:val="Normalny"/>
    <w:link w:val="NagwekZnak"/>
    <w:uiPriority w:val="99"/>
    <w:rsid w:val="00AE3699"/>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AE3699"/>
    <w:rPr>
      <w:rFonts w:ascii="Times" w:eastAsia="Times New Roman" w:hAnsi="Times" w:cs="Times New Roman"/>
      <w:kern w:val="1"/>
      <w:szCs w:val="24"/>
      <w:lang w:eastAsia="ar-SA"/>
    </w:rPr>
  </w:style>
  <w:style w:type="paragraph" w:styleId="Stopka">
    <w:name w:val="footer"/>
    <w:basedOn w:val="Normalny"/>
    <w:link w:val="StopkaZnak"/>
    <w:uiPriority w:val="99"/>
    <w:rsid w:val="00AE3699"/>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AE3699"/>
    <w:rPr>
      <w:rFonts w:ascii="Times" w:eastAsia="Times New Roman" w:hAnsi="Times" w:cs="Times New Roman"/>
      <w:kern w:val="1"/>
      <w:szCs w:val="24"/>
      <w:lang w:eastAsia="ar-SA"/>
    </w:rPr>
  </w:style>
  <w:style w:type="paragraph" w:styleId="Tekstdymka">
    <w:name w:val="Balloon Text"/>
    <w:basedOn w:val="Normalny"/>
    <w:link w:val="TekstdymkaZnak"/>
    <w:uiPriority w:val="99"/>
    <w:semiHidden/>
    <w:rsid w:val="00AE3699"/>
    <w:pPr>
      <w:suppressAutoHyphens/>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AE3699"/>
    <w:rPr>
      <w:rFonts w:ascii="Tahoma" w:eastAsia="Times New Roman"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AE3699"/>
    <w:pPr>
      <w:ind w:left="1497"/>
    </w:pPr>
  </w:style>
  <w:style w:type="paragraph" w:customStyle="1" w:styleId="CZWSPTIRczwsplnatiret">
    <w:name w:val="CZ_WSP_TIR – część wspólna tiret"/>
    <w:basedOn w:val="TIRtiret"/>
    <w:next w:val="USTustnpkodeksu"/>
    <w:uiPriority w:val="17"/>
    <w:qFormat/>
    <w:rsid w:val="00AE3699"/>
    <w:pPr>
      <w:ind w:left="987" w:firstLine="0"/>
    </w:pPr>
  </w:style>
  <w:style w:type="paragraph" w:customStyle="1" w:styleId="ZPKTzmpktartykuempunktem">
    <w:name w:val="Z/PKT – zm. pkt artykułem (punktem)"/>
    <w:basedOn w:val="PKTpunkt"/>
    <w:uiPriority w:val="31"/>
    <w:qFormat/>
    <w:rsid w:val="00AE3699"/>
    <w:pPr>
      <w:ind w:left="1020"/>
    </w:pPr>
  </w:style>
  <w:style w:type="paragraph" w:customStyle="1" w:styleId="ZTIRwLITzmtirwlitartykuempunktem">
    <w:name w:val="Z/TIR_w_LIT – zm. tir. w lit. artykułem (punktem)"/>
    <w:basedOn w:val="TIRtiret"/>
    <w:uiPriority w:val="33"/>
    <w:qFormat/>
    <w:rsid w:val="00AE3699"/>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AE3699"/>
  </w:style>
  <w:style w:type="paragraph" w:customStyle="1" w:styleId="ZLITzmlitartykuempunktem">
    <w:name w:val="Z/LIT – zm. lit. artykułem (punktem)"/>
    <w:basedOn w:val="LITlitera"/>
    <w:uiPriority w:val="32"/>
    <w:qFormat/>
    <w:rsid w:val="00AE3699"/>
  </w:style>
  <w:style w:type="paragraph" w:styleId="Bezodstpw">
    <w:name w:val="No Spacing"/>
    <w:uiPriority w:val="1"/>
    <w:qFormat/>
    <w:rsid w:val="00AE3699"/>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AE369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369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AE3699"/>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E3699"/>
    <w:rPr>
      <w:bCs/>
    </w:rPr>
  </w:style>
  <w:style w:type="paragraph" w:customStyle="1" w:styleId="OZNRODZAKTUtznustawalubrozporzdzenieiorganwydajcy">
    <w:name w:val="OZN_RODZ_AKTU – tzn. ustawa lub rozporządzenie i organ wydający"/>
    <w:next w:val="DATAAKTUdatauchwalenialubwydaniaaktu"/>
    <w:uiPriority w:val="5"/>
    <w:qFormat/>
    <w:rsid w:val="00AE369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AE3699"/>
    <w:pPr>
      <w:ind w:left="0" w:firstLine="0"/>
    </w:pPr>
  </w:style>
  <w:style w:type="paragraph" w:customStyle="1" w:styleId="CYTcytatnpprzysigi">
    <w:name w:val="CYT – cytat np. przysięgi"/>
    <w:basedOn w:val="USTustnpkodeksu"/>
    <w:next w:val="USTustnpkodeksu"/>
    <w:uiPriority w:val="18"/>
    <w:qFormat/>
    <w:rsid w:val="00AE3699"/>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AE3699"/>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AE3699"/>
    <w:pPr>
      <w:ind w:left="1463"/>
    </w:pPr>
  </w:style>
  <w:style w:type="paragraph" w:customStyle="1" w:styleId="ZLITTIRwLITzmtirwlitliter">
    <w:name w:val="Z_LIT/TIR_w_LIT – zm. tir. w lit. literą"/>
    <w:basedOn w:val="TIRtiret"/>
    <w:uiPriority w:val="49"/>
    <w:qFormat/>
    <w:rsid w:val="00AE3699"/>
    <w:pPr>
      <w:ind w:left="1860"/>
    </w:pPr>
  </w:style>
  <w:style w:type="paragraph" w:customStyle="1" w:styleId="TYTDZOZNoznaczenietytuulubdziau">
    <w:name w:val="TYT(DZ)_OZN – oznaczenie tytułu lub działu"/>
    <w:next w:val="Normalny"/>
    <w:uiPriority w:val="9"/>
    <w:qFormat/>
    <w:rsid w:val="00AE3699"/>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AE3699"/>
    <w:pPr>
      <w:ind w:left="510"/>
    </w:pPr>
  </w:style>
  <w:style w:type="paragraph" w:customStyle="1" w:styleId="WMATFIZCHEMwzrmatfizlubchem">
    <w:name w:val="W_MAT(FIZ|CHEM) – wzór mat. (fiz. lub chem.)"/>
    <w:uiPriority w:val="18"/>
    <w:qFormat/>
    <w:rsid w:val="00AE3699"/>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AE3699"/>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AE3699"/>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AE3699"/>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AE3699"/>
    <w:pPr>
      <w:ind w:left="510"/>
    </w:pPr>
  </w:style>
  <w:style w:type="paragraph" w:customStyle="1" w:styleId="ZZLITzmianazmlit">
    <w:name w:val="ZZ/LIT – zmiana zm. lit."/>
    <w:basedOn w:val="ZZPKTzmianazmpkt"/>
    <w:uiPriority w:val="67"/>
    <w:qFormat/>
    <w:rsid w:val="00AE3699"/>
    <w:pPr>
      <w:ind w:left="2370" w:hanging="476"/>
    </w:pPr>
  </w:style>
  <w:style w:type="paragraph" w:customStyle="1" w:styleId="ZZPKTzmianazmpkt">
    <w:name w:val="ZZ/PKT – zmiana zm. pkt"/>
    <w:basedOn w:val="ZPKTzmpktartykuempunktem"/>
    <w:uiPriority w:val="66"/>
    <w:qFormat/>
    <w:rsid w:val="00AE3699"/>
    <w:pPr>
      <w:ind w:left="2404"/>
    </w:pPr>
  </w:style>
  <w:style w:type="paragraph" w:customStyle="1" w:styleId="ZZTIRzmianazmtir">
    <w:name w:val="ZZ/TIR – zmiana zm. tir."/>
    <w:basedOn w:val="ZZLITzmianazmlit"/>
    <w:uiPriority w:val="67"/>
    <w:qFormat/>
    <w:rsid w:val="00AE3699"/>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AE3699"/>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AE3699"/>
    <w:pPr>
      <w:spacing w:after="120"/>
      <w:ind w:left="510"/>
    </w:pPr>
    <w:rPr>
      <w:b w:val="0"/>
    </w:rPr>
  </w:style>
  <w:style w:type="paragraph" w:customStyle="1" w:styleId="ZLITUSTzmustliter">
    <w:name w:val="Z_LIT/UST(§) – zm. ust. (§) literą"/>
    <w:basedOn w:val="USTustnpkodeksu"/>
    <w:uiPriority w:val="46"/>
    <w:qFormat/>
    <w:rsid w:val="00AE3699"/>
    <w:pPr>
      <w:ind w:left="987"/>
    </w:pPr>
  </w:style>
  <w:style w:type="paragraph" w:customStyle="1" w:styleId="ZLITPKTzmpktliter">
    <w:name w:val="Z_LIT/PKT – zm. pkt literą"/>
    <w:basedOn w:val="PKTpunkt"/>
    <w:uiPriority w:val="47"/>
    <w:qFormat/>
    <w:rsid w:val="00AE3699"/>
    <w:pPr>
      <w:ind w:left="1497"/>
    </w:pPr>
  </w:style>
  <w:style w:type="paragraph" w:customStyle="1" w:styleId="ZZCZWSPPKTzmianazmczciwsppkt">
    <w:name w:val="ZZ/CZ_WSP_PKT – zmiana. zm. części wsp. pkt"/>
    <w:basedOn w:val="ZZARTzmianazmart"/>
    <w:next w:val="ZPKTzmpktartykuempunktem"/>
    <w:uiPriority w:val="68"/>
    <w:qFormat/>
    <w:rsid w:val="00AE3699"/>
    <w:pPr>
      <w:ind w:firstLine="0"/>
    </w:pPr>
  </w:style>
  <w:style w:type="paragraph" w:customStyle="1" w:styleId="ZZARTzmianazmart">
    <w:name w:val="ZZ/ART(§) – zmiana zm. art. (§)"/>
    <w:basedOn w:val="ZARTzmartartykuempunktem"/>
    <w:uiPriority w:val="65"/>
    <w:qFormat/>
    <w:rsid w:val="00AE3699"/>
    <w:pPr>
      <w:ind w:left="1894"/>
    </w:pPr>
  </w:style>
  <w:style w:type="paragraph" w:customStyle="1" w:styleId="ZLITLITzmlitliter">
    <w:name w:val="Z_LIT/LIT – zm. lit. literą"/>
    <w:basedOn w:val="LITlitera"/>
    <w:uiPriority w:val="48"/>
    <w:qFormat/>
    <w:rsid w:val="00AE3699"/>
    <w:pPr>
      <w:ind w:left="1463"/>
    </w:pPr>
  </w:style>
  <w:style w:type="paragraph" w:customStyle="1" w:styleId="ZLITCZWSPPKTzmczciwsppktliter">
    <w:name w:val="Z_LIT/CZ_WSP_PKT – zm. części wsp. pkt literą"/>
    <w:basedOn w:val="CZWSPLITczwsplnaliter"/>
    <w:next w:val="LITlitera"/>
    <w:uiPriority w:val="50"/>
    <w:qFormat/>
    <w:rsid w:val="00AE3699"/>
    <w:pPr>
      <w:ind w:left="987"/>
    </w:pPr>
  </w:style>
  <w:style w:type="paragraph" w:customStyle="1" w:styleId="ZLITTIRzmtirliter">
    <w:name w:val="Z_LIT/TIR – zm. tir. literą"/>
    <w:basedOn w:val="TIRtiret"/>
    <w:uiPriority w:val="49"/>
    <w:qFormat/>
    <w:rsid w:val="00AE3699"/>
  </w:style>
  <w:style w:type="paragraph" w:customStyle="1" w:styleId="ZZCZWSPLITwPKTzmianazmczciwsplitwpkt">
    <w:name w:val="ZZ/CZ_WSP_LIT_w_PKT – zmiana zm. części wsp. lit. w pkt"/>
    <w:basedOn w:val="ZZLITwPKTzmianazmlitwpkt"/>
    <w:uiPriority w:val="69"/>
    <w:qFormat/>
    <w:rsid w:val="00AE3699"/>
    <w:pPr>
      <w:ind w:left="2404" w:firstLine="0"/>
    </w:pPr>
  </w:style>
  <w:style w:type="paragraph" w:customStyle="1" w:styleId="ZZLITwPKTzmianazmlitwpkt">
    <w:name w:val="ZZ/LIT_w_PKT – zmiana zm. lit. w pkt"/>
    <w:basedOn w:val="ZLITwPKTzmlitwpktartykuempunktem"/>
    <w:uiPriority w:val="67"/>
    <w:qFormat/>
    <w:rsid w:val="00AE3699"/>
    <w:pPr>
      <w:ind w:left="2880"/>
    </w:pPr>
  </w:style>
  <w:style w:type="paragraph" w:customStyle="1" w:styleId="ZLITLITwPKTzmlitwpktliter">
    <w:name w:val="Z_LIT/LIT_w_PKT – zm. lit. w pkt literą"/>
    <w:basedOn w:val="LITlitera"/>
    <w:uiPriority w:val="48"/>
    <w:qFormat/>
    <w:rsid w:val="00AE3699"/>
    <w:pPr>
      <w:ind w:left="1973"/>
    </w:pPr>
  </w:style>
  <w:style w:type="paragraph" w:customStyle="1" w:styleId="ZLITCZWSPLITwPKTzmczciwsplitwpktliter">
    <w:name w:val="Z_LIT/CZ_WSP_LIT_w_PKT – zm. części wsp. lit. w pkt literą"/>
    <w:basedOn w:val="CZWSPLITczwsplnaliter"/>
    <w:next w:val="LITlitera"/>
    <w:uiPriority w:val="51"/>
    <w:qFormat/>
    <w:rsid w:val="00AE3699"/>
    <w:pPr>
      <w:ind w:left="1497"/>
    </w:pPr>
  </w:style>
  <w:style w:type="paragraph" w:customStyle="1" w:styleId="ZLITTIRwPKTzmtirwpktliter">
    <w:name w:val="Z_LIT/TIR_w_PKT – zm. tir. w pkt literą"/>
    <w:basedOn w:val="TIRtiret"/>
    <w:uiPriority w:val="49"/>
    <w:qFormat/>
    <w:rsid w:val="00AE3699"/>
    <w:pPr>
      <w:ind w:left="2370"/>
    </w:pPr>
  </w:style>
  <w:style w:type="paragraph" w:customStyle="1" w:styleId="ZLITCZWSPTIRwPKTzmczciwsptirwpktliter">
    <w:name w:val="Z_LIT/CZ_WSP_TIR_w_PKT – zm. części wsp. tir. w pkt literą"/>
    <w:basedOn w:val="CZWSPTIRczwsplnatiret"/>
    <w:next w:val="LITlitera"/>
    <w:uiPriority w:val="51"/>
    <w:qFormat/>
    <w:rsid w:val="00AE3699"/>
    <w:pPr>
      <w:ind w:left="1973"/>
    </w:pPr>
  </w:style>
  <w:style w:type="paragraph" w:styleId="Tekstprzypisudolnego">
    <w:name w:val="footnote text"/>
    <w:basedOn w:val="Normalny"/>
    <w:link w:val="TekstprzypisudolnegoZnak"/>
    <w:uiPriority w:val="99"/>
    <w:semiHidden/>
    <w:qFormat/>
    <w:rsid w:val="00AE3699"/>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AE3699"/>
    <w:rPr>
      <w:rFonts w:ascii="Times" w:eastAsia="Times New Roman" w:hAnsi="Times" w:cs="Times New Roman"/>
      <w:szCs w:val="24"/>
      <w:lang w:eastAsia="pl-PL"/>
    </w:rPr>
  </w:style>
  <w:style w:type="paragraph" w:customStyle="1" w:styleId="ZTIRLITzmlittiret">
    <w:name w:val="Z_TIR/LIT – zm. lit. tiret"/>
    <w:basedOn w:val="LITlitera"/>
    <w:uiPriority w:val="57"/>
    <w:qFormat/>
    <w:rsid w:val="00AE3699"/>
    <w:pPr>
      <w:ind w:left="1859"/>
    </w:pPr>
  </w:style>
  <w:style w:type="paragraph" w:customStyle="1" w:styleId="ZTIRCZWSPPKTzmczciwsppkttiret">
    <w:name w:val="Z_TIR/CZ_WSP_PKT – zm. części wsp. pkt tiret"/>
    <w:basedOn w:val="CZWSPLITczwsplnaliter"/>
    <w:next w:val="TIRtiret"/>
    <w:uiPriority w:val="58"/>
    <w:qFormat/>
    <w:rsid w:val="00AE3699"/>
    <w:pPr>
      <w:ind w:left="1383"/>
    </w:pPr>
  </w:style>
  <w:style w:type="paragraph" w:customStyle="1" w:styleId="ZTIRTIRzmtirtiret">
    <w:name w:val="Z_TIR/TIR – zm. tir. tiret"/>
    <w:basedOn w:val="TIRtiret"/>
    <w:uiPriority w:val="57"/>
    <w:qFormat/>
    <w:rsid w:val="00AE3699"/>
    <w:pPr>
      <w:ind w:left="1780"/>
    </w:pPr>
  </w:style>
  <w:style w:type="paragraph" w:customStyle="1" w:styleId="ZZCZWSPTIRwPKTzmianazmczciwsptirwpkt">
    <w:name w:val="ZZ/CZ_WSP_TIR_w_PKT – zmiana zm. części wsp. tir. w pkt"/>
    <w:basedOn w:val="ZZTIRwPKTzmianazmtirwpkt"/>
    <w:uiPriority w:val="70"/>
    <w:qFormat/>
    <w:rsid w:val="00AE3699"/>
    <w:pPr>
      <w:ind w:left="2880" w:firstLine="0"/>
    </w:pPr>
  </w:style>
  <w:style w:type="paragraph" w:customStyle="1" w:styleId="ZZTIRwPKTzmianazmtirwpkt">
    <w:name w:val="ZZ/TIR_w_PKT – zmiana zm. tir. w pkt"/>
    <w:basedOn w:val="ZTIRwPKTzmtirwpktartykuempunktem"/>
    <w:uiPriority w:val="67"/>
    <w:qFormat/>
    <w:rsid w:val="00AE3699"/>
    <w:pPr>
      <w:ind w:left="3277"/>
    </w:pPr>
  </w:style>
  <w:style w:type="paragraph" w:customStyle="1" w:styleId="ZZTIRwLITzmianazmtirwlit">
    <w:name w:val="ZZ/TIR_w_LIT – zmiana zm. tir. w lit."/>
    <w:basedOn w:val="ZZTIRzmianazmtir"/>
    <w:uiPriority w:val="67"/>
    <w:qFormat/>
    <w:rsid w:val="00AE3699"/>
    <w:pPr>
      <w:ind w:left="2767"/>
    </w:pPr>
  </w:style>
  <w:style w:type="paragraph" w:customStyle="1" w:styleId="ZTIRTIRwLITzmtirwlittiret">
    <w:name w:val="Z_TIR/TIR_w_LIT – zm. tir. w lit. tiret"/>
    <w:basedOn w:val="TIRtiret"/>
    <w:uiPriority w:val="57"/>
    <w:qFormat/>
    <w:rsid w:val="00AE3699"/>
    <w:pPr>
      <w:ind w:left="2257"/>
    </w:pPr>
  </w:style>
  <w:style w:type="paragraph" w:customStyle="1" w:styleId="ZTIRCZWSPTIRwLITzmczciwsptirwlittiret">
    <w:name w:val="Z_TIR/CZ_WSP_TIR_w_LIT – zm. części wsp. tir. w lit. tiret"/>
    <w:basedOn w:val="CZWSPTIRczwsplnatiret"/>
    <w:next w:val="TIRtiret"/>
    <w:uiPriority w:val="60"/>
    <w:qFormat/>
    <w:rsid w:val="00AE3699"/>
    <w:pPr>
      <w:ind w:left="1860"/>
    </w:pPr>
  </w:style>
  <w:style w:type="paragraph" w:customStyle="1" w:styleId="CZWSP2TIRczwsplnapodwjnychtiret">
    <w:name w:val="CZ_WSP_2TIR – część wspólna podwójnych tiret"/>
    <w:basedOn w:val="CZWSPTIRczwsplnatiret"/>
    <w:next w:val="TIRtiret"/>
    <w:uiPriority w:val="73"/>
    <w:qFormat/>
    <w:rsid w:val="00AE3699"/>
    <w:pPr>
      <w:ind w:left="1780"/>
    </w:pPr>
  </w:style>
  <w:style w:type="paragraph" w:customStyle="1" w:styleId="Z2TIRzmpodwtirartykuempunktem">
    <w:name w:val="Z/2TIR – zm. podw. tir. artykułem (punktem)"/>
    <w:basedOn w:val="TIRtiret"/>
    <w:uiPriority w:val="73"/>
    <w:qFormat/>
    <w:rsid w:val="00AE3699"/>
    <w:pPr>
      <w:ind w:left="907"/>
    </w:pPr>
  </w:style>
  <w:style w:type="paragraph" w:customStyle="1" w:styleId="ZZCZWSPTIRwLITzmianazmczciwsptirwlit">
    <w:name w:val="ZZ/CZ_WSP_TIR_w_LIT – zmiana zm. części wsp. tir. w lit."/>
    <w:basedOn w:val="ZZTIRwLITzmianazmtirwlit"/>
    <w:uiPriority w:val="70"/>
    <w:qFormat/>
    <w:rsid w:val="00AE3699"/>
    <w:pPr>
      <w:ind w:left="2370" w:firstLine="0"/>
    </w:pPr>
  </w:style>
  <w:style w:type="paragraph" w:customStyle="1" w:styleId="ZLIT2TIRzmpodwtirliter">
    <w:name w:val="Z_LIT/2TIR – zm. podw. tir. literą"/>
    <w:basedOn w:val="TIRtiret"/>
    <w:uiPriority w:val="75"/>
    <w:qFormat/>
    <w:rsid w:val="00AE3699"/>
  </w:style>
  <w:style w:type="paragraph" w:customStyle="1" w:styleId="ZTIR2TIRzmpodwtirtiret">
    <w:name w:val="Z_TIR/2TIR – zm. podw. tir. tiret"/>
    <w:basedOn w:val="TIRtiret"/>
    <w:uiPriority w:val="78"/>
    <w:qFormat/>
    <w:rsid w:val="00AE3699"/>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AE3699"/>
    <w:pPr>
      <w:ind w:left="1780"/>
    </w:pPr>
  </w:style>
  <w:style w:type="paragraph" w:customStyle="1" w:styleId="Z2TIRwPKTzmpodwtirwpktartykuempunktem">
    <w:name w:val="Z/2TIR_w_PKT – zm. podw. tir. w pkt artykułem (punktem)"/>
    <w:basedOn w:val="TIRtiret"/>
    <w:next w:val="ZPKTzmpktartykuempunktem"/>
    <w:uiPriority w:val="74"/>
    <w:qFormat/>
    <w:rsid w:val="00AE3699"/>
    <w:pPr>
      <w:ind w:left="2291"/>
    </w:pPr>
  </w:style>
  <w:style w:type="paragraph" w:customStyle="1" w:styleId="ZTIRPKTzmpkttiret">
    <w:name w:val="Z_TIR/PKT – zm. pkt tiret"/>
    <w:basedOn w:val="PKTpunkt"/>
    <w:uiPriority w:val="56"/>
    <w:qFormat/>
    <w:rsid w:val="00AE3699"/>
    <w:pPr>
      <w:ind w:left="1893"/>
    </w:pPr>
  </w:style>
  <w:style w:type="paragraph" w:customStyle="1" w:styleId="ZTIRLITwPKTzmlitwpkttiret">
    <w:name w:val="Z_TIR/LIT_w_PKT – zm. lit. w pkt tiret"/>
    <w:basedOn w:val="LITlitera"/>
    <w:uiPriority w:val="57"/>
    <w:qFormat/>
    <w:rsid w:val="00AE3699"/>
    <w:pPr>
      <w:ind w:left="2336"/>
    </w:pPr>
  </w:style>
  <w:style w:type="paragraph" w:customStyle="1" w:styleId="ZTIRCZWSPLITwPKTzmczciwsplitwpkttiret">
    <w:name w:val="Z_TIR/CZ_WSP_LIT_w_PKT – zm. części wsp. lit. w pkt tiret"/>
    <w:basedOn w:val="CZWSPLITczwsplnaliter"/>
    <w:uiPriority w:val="59"/>
    <w:qFormat/>
    <w:rsid w:val="00AE3699"/>
    <w:pPr>
      <w:ind w:left="1860"/>
    </w:pPr>
  </w:style>
  <w:style w:type="paragraph" w:customStyle="1" w:styleId="ZTIR2TIRwLITzmpodwtirwlittiret">
    <w:name w:val="Z_TIR/2TIR_w_LIT – zm. podw. tir. w lit. tiret"/>
    <w:basedOn w:val="TIRtiret"/>
    <w:uiPriority w:val="79"/>
    <w:qFormat/>
    <w:rsid w:val="00AE3699"/>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AE3699"/>
    <w:pPr>
      <w:ind w:left="2257"/>
    </w:pPr>
  </w:style>
  <w:style w:type="paragraph" w:customStyle="1" w:styleId="ZTIR2TIRwTIRzmpodwtirwtirtiret">
    <w:name w:val="Z_TIR/2TIR_w_TIR – zm. podw. tir. w tir. tiret"/>
    <w:basedOn w:val="TIRtiret"/>
    <w:uiPriority w:val="78"/>
    <w:qFormat/>
    <w:rsid w:val="00AE3699"/>
    <w:pPr>
      <w:ind w:left="2177"/>
    </w:pPr>
  </w:style>
  <w:style w:type="paragraph" w:customStyle="1" w:styleId="ZTIRCZWSP2TIRwTIRzmczciwsppodwtirwtirtiret">
    <w:name w:val="Z_TIR/CZ_WSP_2TIR_w_TIR – zm. części wsp. podw. tir. w tir. tiret"/>
    <w:basedOn w:val="CZWSPTIRczwsplnatiret"/>
    <w:uiPriority w:val="79"/>
    <w:qFormat/>
    <w:rsid w:val="00AE3699"/>
    <w:pPr>
      <w:ind w:left="1780"/>
    </w:pPr>
  </w:style>
  <w:style w:type="paragraph" w:customStyle="1" w:styleId="Z2TIRLITzmlitpodwjnymtiret">
    <w:name w:val="Z_2TIR/LIT – zm. lit. podwójnym tiret"/>
    <w:basedOn w:val="LITlitera"/>
    <w:uiPriority w:val="84"/>
    <w:qFormat/>
    <w:rsid w:val="00AE3699"/>
    <w:pPr>
      <w:ind w:left="2256"/>
    </w:pPr>
  </w:style>
  <w:style w:type="paragraph" w:customStyle="1" w:styleId="ZZ2TIRwTIRzmianazmpodwtirwtir">
    <w:name w:val="ZZ/2TIR_w_TIR – zmiana zm. podw. tir. w tir."/>
    <w:basedOn w:val="ZZCZWSP2TIRzmianazmczciwsppodwtir"/>
    <w:uiPriority w:val="93"/>
    <w:qFormat/>
    <w:rsid w:val="00AE3699"/>
    <w:pPr>
      <w:ind w:left="2688" w:hanging="397"/>
    </w:pPr>
  </w:style>
  <w:style w:type="paragraph" w:customStyle="1" w:styleId="ZZCZWSP2TIRzmianazmczciwsppodwtir">
    <w:name w:val="ZZ/CZ_WSP_2TIR – zmiana zm. części wsp. podw. tir."/>
    <w:basedOn w:val="ZZTIRzmianazmtir"/>
    <w:next w:val="ZZUSTzmianazmust"/>
    <w:uiPriority w:val="94"/>
    <w:qFormat/>
    <w:rsid w:val="00AE3699"/>
    <w:pPr>
      <w:ind w:left="1894" w:firstLine="0"/>
    </w:pPr>
  </w:style>
  <w:style w:type="paragraph" w:customStyle="1" w:styleId="ZZUSTzmianazmust">
    <w:name w:val="ZZ/UST(§) – zmiana zm. ust. (§)"/>
    <w:basedOn w:val="ZZARTzmianazmart"/>
    <w:uiPriority w:val="65"/>
    <w:qFormat/>
    <w:rsid w:val="00AE3699"/>
  </w:style>
  <w:style w:type="paragraph" w:customStyle="1" w:styleId="ZZ2TIRwLITzmianazmpodwtirwlit">
    <w:name w:val="ZZ/2TIR_w_LIT – zmiana zm. podw. tir. w lit."/>
    <w:basedOn w:val="ZZ2TIRwTIRzmianazmpodwtirwtir"/>
    <w:uiPriority w:val="94"/>
    <w:qFormat/>
    <w:rsid w:val="00AE3699"/>
    <w:pPr>
      <w:ind w:left="3164"/>
    </w:pPr>
  </w:style>
  <w:style w:type="paragraph" w:customStyle="1" w:styleId="Z2TIRTIRwLITzmtirwlitpodwjnymtiret">
    <w:name w:val="Z_2TIR/TIR_w_LIT – zm. tir. w lit. podwójnym tiret"/>
    <w:basedOn w:val="TIRtiret"/>
    <w:uiPriority w:val="84"/>
    <w:qFormat/>
    <w:rsid w:val="00AE3699"/>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AE3699"/>
    <w:pPr>
      <w:ind w:left="2257"/>
    </w:pPr>
  </w:style>
  <w:style w:type="paragraph" w:customStyle="1" w:styleId="ZZ2TIRwPKTzmianazmpodwtirwpkt">
    <w:name w:val="ZZ/2TIR_w_PKT – zmiana zm. podw. tir. w pkt"/>
    <w:basedOn w:val="ZZ2TIRwLITzmianazmpodwtirwlit"/>
    <w:uiPriority w:val="94"/>
    <w:qFormat/>
    <w:rsid w:val="00AE3699"/>
    <w:pPr>
      <w:ind w:left="3674"/>
    </w:pPr>
  </w:style>
  <w:style w:type="paragraph" w:customStyle="1" w:styleId="ZZCZWSP2TIRwTIRzmianazmczciwsppodwtirwtir">
    <w:name w:val="ZZ/CZ_WSP_2TIR_w_TIR – zmiana zm. części wsp. podw. tir. w tir."/>
    <w:basedOn w:val="ZZ2TIRwLITzmianazmpodwtirwlit"/>
    <w:uiPriority w:val="94"/>
    <w:qFormat/>
    <w:rsid w:val="00AE3699"/>
    <w:pPr>
      <w:ind w:left="2291" w:firstLine="0"/>
    </w:pPr>
  </w:style>
  <w:style w:type="paragraph" w:customStyle="1" w:styleId="Z2TIR2TIRwTIRzmpodwtirwtirpodwjnymtiret">
    <w:name w:val="Z_2TIR/2TIR_w_TIR – zm. podw. tir. w tir. podwójnym tiret"/>
    <w:basedOn w:val="TIRtiret"/>
    <w:uiPriority w:val="85"/>
    <w:qFormat/>
    <w:rsid w:val="00AE3699"/>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AE3699"/>
    <w:pPr>
      <w:ind w:left="2177"/>
    </w:pPr>
  </w:style>
  <w:style w:type="paragraph" w:customStyle="1" w:styleId="Z2TIR2TIRwLITzmpodwtirwlitpodwjnymtiret">
    <w:name w:val="Z_2TIR/2TIR_w_LIT – zm. podw. tir. w lit. podwójnym tiret"/>
    <w:basedOn w:val="TIRtiret"/>
    <w:uiPriority w:val="86"/>
    <w:qFormat/>
    <w:rsid w:val="00AE3699"/>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AE3699"/>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AE3699"/>
    <w:pPr>
      <w:ind w:left="510"/>
    </w:pPr>
    <w:rPr>
      <w:b w:val="0"/>
    </w:rPr>
  </w:style>
  <w:style w:type="character" w:styleId="Odwoaniedokomentarza">
    <w:name w:val="annotation reference"/>
    <w:basedOn w:val="Domylnaczcionkaakapitu"/>
    <w:uiPriority w:val="99"/>
    <w:semiHidden/>
    <w:rsid w:val="00AE3699"/>
    <w:rPr>
      <w:sz w:val="16"/>
      <w:szCs w:val="16"/>
    </w:rPr>
  </w:style>
  <w:style w:type="paragraph" w:styleId="Tekstkomentarza">
    <w:name w:val="annotation text"/>
    <w:basedOn w:val="Normalny"/>
    <w:link w:val="TekstkomentarzaZnak"/>
    <w:uiPriority w:val="99"/>
    <w:semiHidden/>
    <w:rsid w:val="00AE3699"/>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AE3699"/>
    <w:rPr>
      <w:rFonts w:ascii="Times" w:eastAsia="Times New Roman" w:hAnsi="Times" w:cs="Times New Roman"/>
      <w:szCs w:val="24"/>
      <w:lang w:eastAsia="pl-PL"/>
    </w:rPr>
  </w:style>
  <w:style w:type="paragraph" w:styleId="Tematkomentarza">
    <w:name w:val="annotation subject"/>
    <w:basedOn w:val="Tekstkomentarza"/>
    <w:next w:val="Tekstkomentarza"/>
    <w:link w:val="TematkomentarzaZnak"/>
    <w:uiPriority w:val="99"/>
    <w:semiHidden/>
    <w:rsid w:val="00AE3699"/>
    <w:rPr>
      <w:b/>
      <w:bCs/>
    </w:rPr>
  </w:style>
  <w:style w:type="character" w:customStyle="1" w:styleId="TematkomentarzaZnak">
    <w:name w:val="Temat komentarza Znak"/>
    <w:basedOn w:val="TekstkomentarzaZnak"/>
    <w:link w:val="Tematkomentarza"/>
    <w:uiPriority w:val="99"/>
    <w:semiHidden/>
    <w:rsid w:val="00AE3699"/>
    <w:rPr>
      <w:rFonts w:ascii="Times" w:eastAsia="Times New Roman" w:hAnsi="Times" w:cs="Times New Roman"/>
      <w:b/>
      <w:bCs/>
      <w:szCs w:val="24"/>
      <w:lang w:eastAsia="pl-PL"/>
    </w:rPr>
  </w:style>
  <w:style w:type="paragraph" w:customStyle="1" w:styleId="ZZWMATFIZCHEMzmwzorumatfizlubchem">
    <w:name w:val="ZZ/W_MAT(FIZ|CHEM) – zm. wzoru mat. (fiz. lub chem.)"/>
    <w:basedOn w:val="ZWMATFIZCHEMzmwzorumatfizlubchemartykuempunktem"/>
    <w:uiPriority w:val="71"/>
    <w:qFormat/>
    <w:rsid w:val="00AE3699"/>
    <w:pPr>
      <w:ind w:left="2404"/>
    </w:pPr>
  </w:style>
  <w:style w:type="paragraph" w:customStyle="1" w:styleId="ODNONIKtreodnonika">
    <w:name w:val="ODNOŚNIK – treść odnośnika"/>
    <w:uiPriority w:val="19"/>
    <w:qFormat/>
    <w:rsid w:val="00AE3699"/>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AE3699"/>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AE3699"/>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AE3699"/>
    <w:rPr>
      <w:rFonts w:ascii="Times New Roman" w:hAnsi="Times New Roman"/>
    </w:rPr>
  </w:style>
  <w:style w:type="paragraph" w:customStyle="1" w:styleId="ZTIRTIRwPKTzmtirwpkttiret">
    <w:name w:val="Z_TIR/TIR_w_PKT – zm. tir. w pkt tiret"/>
    <w:basedOn w:val="ZTIRTIRwLITzmtirwlittiret"/>
    <w:uiPriority w:val="57"/>
    <w:qFormat/>
    <w:rsid w:val="00AE3699"/>
    <w:pPr>
      <w:ind w:left="2733"/>
    </w:pPr>
  </w:style>
  <w:style w:type="paragraph" w:customStyle="1" w:styleId="ZTIRCZWSPTIRwPKTzmczciwsptirtiret">
    <w:name w:val="Z_TIR/CZ_WSP_TIR_w_PKT – zm. części wsp. tir. tiret"/>
    <w:basedOn w:val="ZTIRTIRwPKTzmtirwpkttiret"/>
    <w:next w:val="TIRtiret"/>
    <w:uiPriority w:val="60"/>
    <w:qFormat/>
    <w:rsid w:val="00AE3699"/>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AE3699"/>
    <w:pPr>
      <w:ind w:left="510" w:firstLine="0"/>
    </w:pPr>
  </w:style>
  <w:style w:type="paragraph" w:customStyle="1" w:styleId="ROZDZODDZOZNoznaczenierozdziauluboddziau">
    <w:name w:val="ROZDZ(ODDZ)_OZN – oznaczenie rozdziału lub oddziału"/>
    <w:next w:val="ARTartustawynprozporzdzenia"/>
    <w:uiPriority w:val="10"/>
    <w:qFormat/>
    <w:rsid w:val="00AE3699"/>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AE3699"/>
    <w:pPr>
      <w:ind w:left="2177"/>
    </w:pPr>
  </w:style>
  <w:style w:type="paragraph" w:customStyle="1" w:styleId="Z2TIRTIRzmtirpodwjnymtiret">
    <w:name w:val="Z_2TIR/TIR – zm. tir. podwójnym tiret"/>
    <w:basedOn w:val="TIRtiret"/>
    <w:uiPriority w:val="84"/>
    <w:qFormat/>
    <w:rsid w:val="00AE3699"/>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AE3699"/>
    <w:pPr>
      <w:ind w:left="1021"/>
    </w:pPr>
  </w:style>
  <w:style w:type="paragraph" w:customStyle="1" w:styleId="ZLITSKARNzmsankcjikarnejliter">
    <w:name w:val="Z_LIT/S_KARN – zm. sankcji karnej literą"/>
    <w:basedOn w:val="ZSKARNzmsankcjikarnejwszczeglnociwKodeksiekarnym"/>
    <w:uiPriority w:val="53"/>
    <w:qFormat/>
    <w:rsid w:val="00AE3699"/>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AE3699"/>
    <w:pPr>
      <w:ind w:left="1021"/>
    </w:pPr>
  </w:style>
  <w:style w:type="paragraph" w:customStyle="1" w:styleId="ZUSTzmustartykuempunktem">
    <w:name w:val="Z/UST(§) – zm. ust. (§) artykułem (punktem)"/>
    <w:basedOn w:val="ZARTzmartartykuempunktem"/>
    <w:uiPriority w:val="30"/>
    <w:qFormat/>
    <w:rsid w:val="00AE3699"/>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AE3699"/>
    <w:pPr>
      <w:ind w:left="1894" w:firstLine="0"/>
    </w:pPr>
  </w:style>
  <w:style w:type="paragraph" w:customStyle="1" w:styleId="Z2TIRwLITzmpodwtirwlitartykuempunktem">
    <w:name w:val="Z/2TIR_w_LIT – zm. podw. tir. w lit. artykułem (punktem)"/>
    <w:basedOn w:val="Z2TIRwPKTzmpodwtirwpktartykuempunktem"/>
    <w:uiPriority w:val="74"/>
    <w:qFormat/>
    <w:rsid w:val="00AE3699"/>
    <w:pPr>
      <w:ind w:left="1780"/>
    </w:pPr>
  </w:style>
  <w:style w:type="paragraph" w:customStyle="1" w:styleId="Z2TIRwTIRzmpodwtirwtirartykuempunktem">
    <w:name w:val="Z/2TIR_w_TIR – zm. podw. tir. w tir. artykułem (punktem)"/>
    <w:basedOn w:val="Z2TIRwLITzmpodwtirwlitartykuempunktem"/>
    <w:uiPriority w:val="73"/>
    <w:qFormat/>
    <w:rsid w:val="00AE3699"/>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AE3699"/>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AE3699"/>
    <w:pPr>
      <w:ind w:left="1383" w:firstLine="0"/>
    </w:pPr>
  </w:style>
  <w:style w:type="paragraph" w:customStyle="1" w:styleId="PKTODNONIKApunktodnonika">
    <w:name w:val="PKT_ODNOŚNIKA – punkt odnośnika"/>
    <w:basedOn w:val="ODNONIKtreodnonika"/>
    <w:uiPriority w:val="19"/>
    <w:qFormat/>
    <w:rsid w:val="00AE3699"/>
    <w:pPr>
      <w:ind w:left="568"/>
    </w:pPr>
  </w:style>
  <w:style w:type="paragraph" w:customStyle="1" w:styleId="ZODNONIKAzmtekstuodnonikaartykuempunktem">
    <w:name w:val="Z/ODNOŚNIKA – zm. tekstu odnośnika artykułem (punktem)"/>
    <w:basedOn w:val="ODNONIKtreodnonika"/>
    <w:uiPriority w:val="39"/>
    <w:qFormat/>
    <w:rsid w:val="00AE3699"/>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AE3699"/>
    <w:pPr>
      <w:ind w:left="1304"/>
    </w:pPr>
  </w:style>
  <w:style w:type="paragraph" w:customStyle="1" w:styleId="ZPKTODNONIKAzmpktodnonikaartykuempunktem">
    <w:name w:val="Z/PKT_ODNOŚNIKA – zm. pkt odnośnika artykułem (punktem)"/>
    <w:basedOn w:val="ZODNONIKAzmtekstuodnonikaartykuempunktem"/>
    <w:uiPriority w:val="39"/>
    <w:qFormat/>
    <w:rsid w:val="00AE3699"/>
  </w:style>
  <w:style w:type="paragraph" w:customStyle="1" w:styleId="ZLIT2TIRwTIRzmpodwtirwtirliter">
    <w:name w:val="Z_LIT/2TIR_w_TIR – zm. podw. tir. w tir. literą"/>
    <w:basedOn w:val="ZLIT2TIRzmpodwtirliter"/>
    <w:uiPriority w:val="75"/>
    <w:qFormat/>
    <w:rsid w:val="00AE3699"/>
    <w:pPr>
      <w:ind w:left="1780"/>
    </w:pPr>
  </w:style>
  <w:style w:type="paragraph" w:customStyle="1" w:styleId="ZLIT2TIRwLITzmpodwtirwlitliter">
    <w:name w:val="Z_LIT/2TIR_w_LIT – zm. podw. tir. w lit. literą"/>
    <w:basedOn w:val="ZLIT2TIRwTIRzmpodwtirwtirliter"/>
    <w:uiPriority w:val="76"/>
    <w:qFormat/>
    <w:rsid w:val="00AE3699"/>
    <w:pPr>
      <w:ind w:left="2257"/>
    </w:pPr>
  </w:style>
  <w:style w:type="paragraph" w:customStyle="1" w:styleId="ZLIT2TIRwPKTzmpodwtirwpktliter">
    <w:name w:val="Z_LIT/2TIR_w_PKT – zm. podw. tir. w pkt literą"/>
    <w:basedOn w:val="ZLIT2TIRwLITzmpodwtirwlitliter"/>
    <w:uiPriority w:val="76"/>
    <w:qFormat/>
    <w:rsid w:val="00AE3699"/>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AE3699"/>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AE3699"/>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AE3699"/>
    <w:pPr>
      <w:ind w:left="2370" w:firstLine="0"/>
    </w:pPr>
  </w:style>
  <w:style w:type="paragraph" w:customStyle="1" w:styleId="ZTIR2TIRwPKTzmpodwtirwpkttiret">
    <w:name w:val="Z_TIR/2TIR_w_PKT – zm. podw. tir. w pkt tiret"/>
    <w:basedOn w:val="ZTIR2TIRwLITzmpodwtirwlittiret"/>
    <w:uiPriority w:val="79"/>
    <w:qFormat/>
    <w:rsid w:val="00AE3699"/>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AE3699"/>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AE3699"/>
    <w:pPr>
      <w:ind w:left="2767"/>
    </w:pPr>
  </w:style>
  <w:style w:type="paragraph" w:customStyle="1" w:styleId="ZZCZWSP2TIRwPKTzmianazmczciwsppodwtirwpkt">
    <w:name w:val="ZZ/CZ_WSP_2TIR_w_PKT – zmiana zm. części wsp. podw. tir. w pkt"/>
    <w:basedOn w:val="ZZ2TIRwLITzmianazmpodwtirwlit"/>
    <w:uiPriority w:val="95"/>
    <w:qFormat/>
    <w:rsid w:val="00AE3699"/>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AE3699"/>
  </w:style>
  <w:style w:type="paragraph" w:customStyle="1" w:styleId="ZLITCZWSP2TIRzmczciwsppodwtirliter">
    <w:name w:val="Z_LIT/CZ_WSP_2TIR – zm. części wsp. podw. tir. literą"/>
    <w:basedOn w:val="ZLITCZWSPPKTzmczciwsppktliter"/>
    <w:next w:val="LITlitera"/>
    <w:uiPriority w:val="76"/>
    <w:qFormat/>
    <w:rsid w:val="00AE3699"/>
  </w:style>
  <w:style w:type="paragraph" w:customStyle="1" w:styleId="ZTIRCZWSP2TIRzmczciwsppodwtirtiret">
    <w:name w:val="Z_TIR/CZ_WSP_2TIR – zm. części wsp. podw. tir. tiret"/>
    <w:basedOn w:val="ZLITCZWSP2TIRzmczciwsppodwtirliter"/>
    <w:next w:val="TIRtiret"/>
    <w:uiPriority w:val="79"/>
    <w:qFormat/>
    <w:rsid w:val="00AE3699"/>
  </w:style>
  <w:style w:type="paragraph" w:customStyle="1" w:styleId="ZZ2TIRzmianazmpodwtir">
    <w:name w:val="ZZ/2TIR – zmiana zm. podw. tir."/>
    <w:basedOn w:val="ZZCZWSP2TIRzmianazmczciwsppodwtir"/>
    <w:uiPriority w:val="93"/>
    <w:qFormat/>
    <w:rsid w:val="00AE3699"/>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AE3699"/>
  </w:style>
  <w:style w:type="paragraph" w:customStyle="1" w:styleId="ZCZWSPTIRzmczciwsptirartykuempunktem">
    <w:name w:val="Z/CZ_WSP_TIR – zm. części wsp. tir. artykułem (punktem)"/>
    <w:basedOn w:val="ZCZWSPPKTzmczciwsppktartykuempunktem"/>
    <w:next w:val="PKTpunkt"/>
    <w:uiPriority w:val="35"/>
    <w:qFormat/>
    <w:rsid w:val="00AE3699"/>
  </w:style>
  <w:style w:type="paragraph" w:customStyle="1" w:styleId="ZLITCZWSPLITzmczciwsplitliter">
    <w:name w:val="Z_LIT/CZ_WSP_LIT – zm. części wsp. lit. literą"/>
    <w:basedOn w:val="ZLITCZWSPPKTzmczciwsppktliter"/>
    <w:next w:val="LITlitera"/>
    <w:uiPriority w:val="51"/>
    <w:qFormat/>
    <w:rsid w:val="00AE3699"/>
  </w:style>
  <w:style w:type="paragraph" w:customStyle="1" w:styleId="ZLITCZWSPTIRzmczciwsptirliter">
    <w:name w:val="Z_LIT/CZ_WSP_TIR – zm. części wsp. tir. literą"/>
    <w:basedOn w:val="ZLITCZWSPPKTzmczciwsppktliter"/>
    <w:next w:val="LITlitera"/>
    <w:uiPriority w:val="51"/>
    <w:qFormat/>
    <w:rsid w:val="00AE3699"/>
  </w:style>
  <w:style w:type="paragraph" w:customStyle="1" w:styleId="ZTIRCZWSPLITzmczciwsplittiret">
    <w:name w:val="Z_TIR/CZ_WSP_LIT – zm. części wsp. lit. tiret"/>
    <w:basedOn w:val="ZTIRCZWSPPKTzmczciwsppkttiret"/>
    <w:next w:val="TIRtiret"/>
    <w:uiPriority w:val="59"/>
    <w:qFormat/>
    <w:rsid w:val="00AE3699"/>
  </w:style>
  <w:style w:type="paragraph" w:customStyle="1" w:styleId="ZTIRCZWSPTIRzmczciwsptirtiret">
    <w:name w:val="Z_TIR/CZ_WSP_TIR – zm. części wsp. tir. tiret"/>
    <w:basedOn w:val="ZTIRCZWSPPKTzmczciwsppkttiret"/>
    <w:next w:val="TIRtiret"/>
    <w:uiPriority w:val="60"/>
    <w:qFormat/>
    <w:rsid w:val="00AE3699"/>
  </w:style>
  <w:style w:type="paragraph" w:customStyle="1" w:styleId="ZZCZWSPLITzmianazmczciwsplit">
    <w:name w:val="ZZ/CZ_WSP_LIT – zmiana. zm. części wsp. lit."/>
    <w:basedOn w:val="ZZCZWSPPKTzmianazmczciwsppkt"/>
    <w:uiPriority w:val="69"/>
    <w:qFormat/>
    <w:rsid w:val="00AE3699"/>
  </w:style>
  <w:style w:type="paragraph" w:customStyle="1" w:styleId="ZZCZWSPTIRzmianazmczciwsptir">
    <w:name w:val="ZZ/CZ_WSP_TIR – zmiana. zm. części wsp. tir."/>
    <w:basedOn w:val="ZZCZWSPPKTzmianazmczciwsppkt"/>
    <w:uiPriority w:val="69"/>
    <w:qFormat/>
    <w:rsid w:val="00AE3699"/>
  </w:style>
  <w:style w:type="paragraph" w:customStyle="1" w:styleId="Z2TIRCZWSPTIRzmczciwsptirpodwjnymtiret">
    <w:name w:val="Z_2TIR/CZ_WSP_TIR – zm. części wsp. tir. podwójnym tiret"/>
    <w:basedOn w:val="Z2TIRCZWSPLITzmczciwsplitpodwjnymtiret"/>
    <w:next w:val="2TIRpodwjnytiret"/>
    <w:uiPriority w:val="87"/>
    <w:qFormat/>
    <w:rsid w:val="00AE3699"/>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AE3699"/>
  </w:style>
  <w:style w:type="paragraph" w:customStyle="1" w:styleId="TYTDZPRZEDMprzedmiotregulacjitytuulubdziau">
    <w:name w:val="TYT(DZ)_PRZEDM – przedmiot regulacji tytułu lub działu"/>
    <w:next w:val="ARTartustawynprozporzdzenia"/>
    <w:uiPriority w:val="9"/>
    <w:qFormat/>
    <w:rsid w:val="00AE3699"/>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AE3699"/>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AE3699"/>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AE3699"/>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AE3699"/>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AE3699"/>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AE3699"/>
    <w:pPr>
      <w:ind w:left="1894"/>
    </w:pPr>
  </w:style>
  <w:style w:type="paragraph" w:customStyle="1" w:styleId="P1wTABELIpoziom1numeracjiwtabeli">
    <w:name w:val="P1_w_TABELI – poziom 1 numeracji w tabeli"/>
    <w:basedOn w:val="PKTpunkt"/>
    <w:uiPriority w:val="24"/>
    <w:qFormat/>
    <w:rsid w:val="00AE3699"/>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AE3699"/>
    <w:pPr>
      <w:ind w:left="0" w:firstLine="0"/>
    </w:pPr>
  </w:style>
  <w:style w:type="paragraph" w:customStyle="1" w:styleId="P2wTABELIpoziom2numeracjiwtabeli">
    <w:name w:val="P2_w_TABELI – poziom 2 numeracji w tabeli"/>
    <w:basedOn w:val="P1wTABELIpoziom1numeracjiwtabeli"/>
    <w:uiPriority w:val="24"/>
    <w:qFormat/>
    <w:rsid w:val="00AE3699"/>
    <w:pPr>
      <w:ind w:left="794"/>
    </w:pPr>
  </w:style>
  <w:style w:type="paragraph" w:customStyle="1" w:styleId="P3wTABELIpoziom3numeracjiwtabeli">
    <w:name w:val="P3_w_TABELI – poziom 3 numeracji w tabeli"/>
    <w:basedOn w:val="P2wTABELIpoziom2numeracjiwtabeli"/>
    <w:uiPriority w:val="24"/>
    <w:qFormat/>
    <w:rsid w:val="00AE3699"/>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AE3699"/>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AE3699"/>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AE3699"/>
    <w:pPr>
      <w:ind w:left="1191"/>
    </w:pPr>
  </w:style>
  <w:style w:type="paragraph" w:customStyle="1" w:styleId="P4wTABELIpoziom4numeracjiwtabeli">
    <w:name w:val="P4_w_TABELI – poziom 4 numeracji w tabeli"/>
    <w:basedOn w:val="P3wTABELIpoziom3numeracjiwtabeli"/>
    <w:uiPriority w:val="24"/>
    <w:qFormat/>
    <w:rsid w:val="00AE3699"/>
    <w:pPr>
      <w:ind w:left="1588"/>
    </w:pPr>
  </w:style>
  <w:style w:type="paragraph" w:customStyle="1" w:styleId="TYTTABELItytutabeli">
    <w:name w:val="TYT_TABELI – tytuł tabeli"/>
    <w:basedOn w:val="TYTDZOZNoznaczenietytuulubdziau"/>
    <w:uiPriority w:val="22"/>
    <w:qFormat/>
    <w:rsid w:val="00AE3699"/>
    <w:rPr>
      <w:b/>
    </w:rPr>
  </w:style>
  <w:style w:type="paragraph" w:customStyle="1" w:styleId="OZNPROJEKTUwskazaniedatylubwersjiprojektu">
    <w:name w:val="OZN_PROJEKTU – wskazanie daty lub wersji projektu"/>
    <w:next w:val="OZNRODZAKTUtznustawalubrozporzdzenieiorganwydajcy"/>
    <w:uiPriority w:val="5"/>
    <w:qFormat/>
    <w:rsid w:val="00AE3699"/>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AE3699"/>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AE3699"/>
    <w:pPr>
      <w:ind w:left="0" w:right="4820"/>
      <w:jc w:val="left"/>
    </w:pPr>
  </w:style>
  <w:style w:type="paragraph" w:customStyle="1" w:styleId="TEKSTwporozumieniu">
    <w:name w:val="TEKST&quot;w porozumieniu:&quot;"/>
    <w:next w:val="NAZORGWPOROZUMIENIUnazwaorganuwporozumieniuzktrymaktjestwydawany"/>
    <w:uiPriority w:val="27"/>
    <w:qFormat/>
    <w:rsid w:val="00AE3699"/>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AE3699"/>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AE3699"/>
    <w:pPr>
      <w:ind w:left="510" w:firstLine="0"/>
    </w:pPr>
  </w:style>
  <w:style w:type="paragraph" w:customStyle="1" w:styleId="NOTATKILEGISLATORA">
    <w:name w:val="NOTATKI_LEGISLATORA"/>
    <w:basedOn w:val="Normalny"/>
    <w:uiPriority w:val="5"/>
    <w:qFormat/>
    <w:rsid w:val="00AE3699"/>
    <w:rPr>
      <w:b/>
      <w:i/>
    </w:rPr>
  </w:style>
  <w:style w:type="paragraph" w:customStyle="1" w:styleId="OZNZACZNIKAwskazanienrzacznika">
    <w:name w:val="OZN_ZAŁĄCZNIKA – wskazanie nr załącznika"/>
    <w:basedOn w:val="OZNPROJEKTUwskazaniedatylubwersjiprojektu"/>
    <w:uiPriority w:val="28"/>
    <w:qFormat/>
    <w:rsid w:val="00AE3699"/>
    <w:pPr>
      <w:keepNext/>
    </w:pPr>
    <w:rPr>
      <w:b/>
      <w:u w:val="none"/>
    </w:rPr>
  </w:style>
  <w:style w:type="paragraph" w:customStyle="1" w:styleId="OZNPARAFYADNOTACJE">
    <w:name w:val="OZN_PARAFY(ADNOTACJE)"/>
    <w:basedOn w:val="ODNONIKtreodnonika"/>
    <w:uiPriority w:val="26"/>
    <w:qFormat/>
    <w:rsid w:val="00AE3699"/>
  </w:style>
  <w:style w:type="paragraph" w:customStyle="1" w:styleId="TEKSTZacznikido">
    <w:name w:val="TEKST&quot;Załącznik(i) do ...&quot;"/>
    <w:uiPriority w:val="28"/>
    <w:qFormat/>
    <w:rsid w:val="00AE3699"/>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AE3699"/>
    <w:pPr>
      <w:ind w:left="851"/>
    </w:pPr>
  </w:style>
  <w:style w:type="paragraph" w:customStyle="1" w:styleId="CZWSPLITODNONIKAczwspliterodnonika">
    <w:name w:val="CZ_WSP_LIT_ODNOŚNIKA – część wsp. liter odnośnika"/>
    <w:basedOn w:val="LITODNONIKAliteraodnonika"/>
    <w:uiPriority w:val="22"/>
    <w:qFormat/>
    <w:rsid w:val="00AE3699"/>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AE3699"/>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AE3699"/>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AE3699"/>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AE3699"/>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AE3699"/>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AE3699"/>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AE3699"/>
  </w:style>
  <w:style w:type="paragraph" w:customStyle="1" w:styleId="ZLITwPKTODNONIKAzmlitwpktodnonikaartykuempunktem">
    <w:name w:val="Z/LIT_w_PKT_ODNOŚNIKA – zm. lit. w pkt odnośnika artykułem (punktem)"/>
    <w:basedOn w:val="ZLITODNONIKAzmlitodnonikaartykuempunktem"/>
    <w:uiPriority w:val="40"/>
    <w:qFormat/>
    <w:rsid w:val="00AE3699"/>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AE3699"/>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AE3699"/>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AE3699"/>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AE3699"/>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AE3699"/>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AE3699"/>
  </w:style>
  <w:style w:type="paragraph" w:customStyle="1" w:styleId="ZZFRAGzmianazmfragmentunpzdania">
    <w:name w:val="ZZ/FRAG – zmiana zm. fragmentu (np. zdania)"/>
    <w:basedOn w:val="ZZCZWSPPKTzmianazmczciwsppkt"/>
    <w:uiPriority w:val="70"/>
    <w:qFormat/>
    <w:rsid w:val="00AE3699"/>
  </w:style>
  <w:style w:type="paragraph" w:customStyle="1" w:styleId="Z2TIRPKTzmpktpodwjnymtiret">
    <w:name w:val="Z_2TIR/PKT – zm. pkt podwójnym tiret"/>
    <w:basedOn w:val="Z2TIRLITzmlitpodwjnymtiret"/>
    <w:uiPriority w:val="83"/>
    <w:qFormat/>
    <w:rsid w:val="00AE3699"/>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AE3699"/>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AE3699"/>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AE3699"/>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AE3699"/>
    <w:pPr>
      <w:ind w:left="1780" w:firstLine="510"/>
    </w:pPr>
  </w:style>
  <w:style w:type="paragraph" w:customStyle="1" w:styleId="Z2TIRUSTzmustpodwjnymtiret">
    <w:name w:val="Z_2TIR/UST(§) – zm. ust. (§) podwójnym tiret"/>
    <w:basedOn w:val="Z2TIRPKTzmpktpodwjnymtiret"/>
    <w:uiPriority w:val="82"/>
    <w:qFormat/>
    <w:rsid w:val="00AE3699"/>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AE3699"/>
    <w:pPr>
      <w:ind w:left="3164" w:firstLine="0"/>
    </w:pPr>
  </w:style>
  <w:style w:type="paragraph" w:customStyle="1" w:styleId="Z2TIRCZWSPPKTzmczciwsppktpodwjnymtiret">
    <w:name w:val="Z_2TIR/CZ_WSP_PKT – zm. części wsp. pkt podwójnym tiret"/>
    <w:basedOn w:val="Z2TIRPKTzmpktpodwjnymtiret"/>
    <w:uiPriority w:val="86"/>
    <w:qFormat/>
    <w:rsid w:val="00AE3699"/>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AE3699"/>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AE3699"/>
    <w:pPr>
      <w:ind w:left="2767" w:firstLine="0"/>
    </w:pPr>
  </w:style>
  <w:style w:type="paragraph" w:customStyle="1" w:styleId="ZLITARTzmartliter">
    <w:name w:val="Z_LIT/ART(§) – zm. art. (§) literą"/>
    <w:basedOn w:val="ZLITUSTzmustliter"/>
    <w:uiPriority w:val="46"/>
    <w:qFormat/>
    <w:rsid w:val="00AE3699"/>
    <w:rPr>
      <w:rFonts w:ascii="Times New Roman" w:hAnsi="Times New Roman"/>
    </w:rPr>
  </w:style>
  <w:style w:type="paragraph" w:customStyle="1" w:styleId="ZTIRARTzmarttiret">
    <w:name w:val="Z_TIR/ART(§) – zm. art. (§) tiret"/>
    <w:basedOn w:val="ZTIRPKTzmpkttiret"/>
    <w:uiPriority w:val="55"/>
    <w:qFormat/>
    <w:rsid w:val="00AE3699"/>
    <w:pPr>
      <w:ind w:left="1383" w:firstLine="510"/>
    </w:pPr>
    <w:rPr>
      <w:rFonts w:ascii="Times New Roman" w:hAnsi="Times New Roman"/>
    </w:rPr>
  </w:style>
  <w:style w:type="paragraph" w:customStyle="1" w:styleId="ZTIRUSTzmusttiret">
    <w:name w:val="Z_TIR/UST(§) – zm. ust. (§) tiret"/>
    <w:basedOn w:val="ZTIRARTzmarttiret"/>
    <w:uiPriority w:val="55"/>
    <w:qFormat/>
    <w:rsid w:val="00AE3699"/>
  </w:style>
  <w:style w:type="paragraph" w:customStyle="1" w:styleId="ZLITKSIGIzmozniprzedmksigiliter">
    <w:name w:val="Z_LIT/KSIĘGI – zm. ozn. i przedm. księgi literą"/>
    <w:basedOn w:val="ZCZCIKSIGIzmozniprzedmczciksigiartykuempunktem"/>
    <w:uiPriority w:val="44"/>
    <w:qFormat/>
    <w:rsid w:val="00AE3699"/>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AE3699"/>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AE3699"/>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AE3699"/>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AE3699"/>
    <w:pPr>
      <w:ind w:left="987"/>
    </w:pPr>
  </w:style>
  <w:style w:type="paragraph" w:customStyle="1" w:styleId="ZTIRDZOZNzmozndziautiret">
    <w:name w:val="Z_TIR/DZ_OZN – zm. ozn. działu tiret"/>
    <w:basedOn w:val="ZLITTYTDZOZNzmozntytuudziauliter"/>
    <w:next w:val="ZTIRDZPRZEDMzmprzedmdziautiret"/>
    <w:uiPriority w:val="54"/>
    <w:qFormat/>
    <w:rsid w:val="00AE3699"/>
    <w:pPr>
      <w:ind w:left="1383"/>
    </w:pPr>
  </w:style>
  <w:style w:type="paragraph" w:customStyle="1" w:styleId="ZTIRDZPRZEDMzmprzedmdziautiret">
    <w:name w:val="Z_TIR/DZ_PRZEDM – zm. przedm. działu tiret"/>
    <w:basedOn w:val="ZLITTYTDZPRZEDMzmprzedmtytuudziauliter"/>
    <w:uiPriority w:val="54"/>
    <w:qFormat/>
    <w:rsid w:val="00AE3699"/>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AE3699"/>
    <w:pPr>
      <w:ind w:left="1383"/>
    </w:pPr>
  </w:style>
  <w:style w:type="paragraph" w:customStyle="1" w:styleId="ZTIRROZDZODDZPRZEDMzmprzedmrozdzoddztiret">
    <w:name w:val="Z_TIR/ROZDZ(ODDZ)_PRZEDM – zm. przedm. rozdz. (oddz.) tiret"/>
    <w:basedOn w:val="ZLITROZDZODDZPRZEDMzmprzedmrozdzoddzliter"/>
    <w:uiPriority w:val="54"/>
    <w:qFormat/>
    <w:rsid w:val="00AE3699"/>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AE3699"/>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AE3699"/>
    <w:pPr>
      <w:ind w:left="1780"/>
    </w:pPr>
  </w:style>
  <w:style w:type="character" w:customStyle="1" w:styleId="IGindeksgrny">
    <w:name w:val="_IG_ – indeks górny"/>
    <w:basedOn w:val="Domylnaczcionkaakapitu"/>
    <w:uiPriority w:val="2"/>
    <w:qFormat/>
    <w:rsid w:val="00AE3699"/>
    <w:rPr>
      <w:b w:val="0"/>
      <w:i w:val="0"/>
      <w:vanish w:val="0"/>
      <w:spacing w:val="0"/>
      <w:vertAlign w:val="superscript"/>
    </w:rPr>
  </w:style>
  <w:style w:type="character" w:customStyle="1" w:styleId="IDindeksdolny">
    <w:name w:val="_ID_ – indeks dolny"/>
    <w:basedOn w:val="Domylnaczcionkaakapitu"/>
    <w:uiPriority w:val="3"/>
    <w:qFormat/>
    <w:rsid w:val="00AE3699"/>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AE3699"/>
    <w:rPr>
      <w:b/>
      <w:vanish w:val="0"/>
      <w:spacing w:val="0"/>
      <w:vertAlign w:val="subscript"/>
    </w:rPr>
  </w:style>
  <w:style w:type="character" w:customStyle="1" w:styleId="IDKindeksdolnyikursywa">
    <w:name w:val="_ID_K_ – indeks dolny i kursywa"/>
    <w:basedOn w:val="Domylnaczcionkaakapitu"/>
    <w:uiPriority w:val="3"/>
    <w:qFormat/>
    <w:rsid w:val="00AE3699"/>
    <w:rPr>
      <w:i/>
      <w:vanish w:val="0"/>
      <w:spacing w:val="0"/>
      <w:vertAlign w:val="subscript"/>
    </w:rPr>
  </w:style>
  <w:style w:type="character" w:customStyle="1" w:styleId="IGPindeksgrnyipogrubienie">
    <w:name w:val="_IG_P_ – indeks górny i pogrubienie"/>
    <w:basedOn w:val="Domylnaczcionkaakapitu"/>
    <w:uiPriority w:val="2"/>
    <w:qFormat/>
    <w:rsid w:val="00AE3699"/>
    <w:rPr>
      <w:b/>
      <w:vanish w:val="0"/>
      <w:spacing w:val="0"/>
      <w:vertAlign w:val="superscript"/>
    </w:rPr>
  </w:style>
  <w:style w:type="character" w:customStyle="1" w:styleId="IGKindeksgrnyikursywa">
    <w:name w:val="_IG_K_ – indeks górny i kursywa"/>
    <w:basedOn w:val="Domylnaczcionkaakapitu"/>
    <w:uiPriority w:val="2"/>
    <w:qFormat/>
    <w:rsid w:val="00AE3699"/>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AE3699"/>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AE3699"/>
    <w:rPr>
      <w:b/>
      <w:i/>
      <w:vanish w:val="0"/>
      <w:spacing w:val="0"/>
      <w:vertAlign w:val="subscript"/>
    </w:rPr>
  </w:style>
  <w:style w:type="character" w:customStyle="1" w:styleId="Ppogrubienie">
    <w:name w:val="_P_ – pogrubienie"/>
    <w:basedOn w:val="Domylnaczcionkaakapitu"/>
    <w:qFormat/>
    <w:rsid w:val="00AE3699"/>
    <w:rPr>
      <w:b/>
    </w:rPr>
  </w:style>
  <w:style w:type="character" w:customStyle="1" w:styleId="Kkursywa">
    <w:name w:val="_K_ – kursywa"/>
    <w:basedOn w:val="Domylnaczcionkaakapitu"/>
    <w:uiPriority w:val="1"/>
    <w:qFormat/>
    <w:rsid w:val="00AE3699"/>
    <w:rPr>
      <w:i/>
    </w:rPr>
  </w:style>
  <w:style w:type="character" w:customStyle="1" w:styleId="PKpogrubieniekursywa">
    <w:name w:val="_P_K_ – pogrubienie kursywa"/>
    <w:basedOn w:val="Domylnaczcionkaakapitu"/>
    <w:uiPriority w:val="1"/>
    <w:qFormat/>
    <w:rsid w:val="00AE3699"/>
    <w:rPr>
      <w:b/>
      <w:i/>
    </w:rPr>
  </w:style>
  <w:style w:type="character" w:customStyle="1" w:styleId="TEKSTOZNACZONYWDOKUMENCIERDOWYMJAKOUKRYTY">
    <w:name w:val="_TEKST_OZNACZONY_W_DOKUMENCIE_ŹRÓDŁOWYM_JAKO_UKRYTY_"/>
    <w:basedOn w:val="Domylnaczcionkaakapitu"/>
    <w:uiPriority w:val="4"/>
    <w:unhideWhenUsed/>
    <w:qFormat/>
    <w:rsid w:val="00AE3699"/>
    <w:rPr>
      <w:vanish w:val="0"/>
      <w:color w:val="FF0000"/>
      <w:u w:val="single" w:color="FF0000"/>
    </w:rPr>
  </w:style>
  <w:style w:type="character" w:customStyle="1" w:styleId="BEZWERSALIKW">
    <w:name w:val="_BEZ_WERSALIKÓW_"/>
    <w:basedOn w:val="Domylnaczcionkaakapitu"/>
    <w:uiPriority w:val="4"/>
    <w:qFormat/>
    <w:rsid w:val="00AE3699"/>
    <w:rPr>
      <w:caps/>
    </w:rPr>
  </w:style>
  <w:style w:type="character" w:customStyle="1" w:styleId="IIGPindeksgrnyindeksugrnegoipogrubienie">
    <w:name w:val="_IIG_P_ – indeks górny indeksu górnego i pogrubienie"/>
    <w:basedOn w:val="Domylnaczcionkaakapitu"/>
    <w:uiPriority w:val="3"/>
    <w:qFormat/>
    <w:rsid w:val="00AE3699"/>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AE3699"/>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AE3699"/>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AE3699"/>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AE3699"/>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AE3699"/>
    <w:pPr>
      <w:ind w:left="1894"/>
    </w:pPr>
  </w:style>
  <w:style w:type="paragraph" w:customStyle="1" w:styleId="ZZSKARNzmianazmsankcjikarnej">
    <w:name w:val="ZZ/S_KARN – zmiana zm. sankcji karnej"/>
    <w:basedOn w:val="ZZFRAGzmianazmfragmentunpzdania"/>
    <w:uiPriority w:val="71"/>
    <w:qFormat/>
    <w:rsid w:val="00AE3699"/>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AE3699"/>
    <w:pPr>
      <w:ind w:left="2291" w:firstLine="0"/>
    </w:pPr>
  </w:style>
  <w:style w:type="paragraph" w:customStyle="1" w:styleId="LEGWMATFIZCHEMlegendawzorumatfizlubchem">
    <w:name w:val="LEG_W_MAT(FIZ|CHEM) – legenda wzoru mat. (fiz. lub chem.)"/>
    <w:basedOn w:val="WMATFIZCHEMwzrmatfizlubchem"/>
    <w:uiPriority w:val="19"/>
    <w:qFormat/>
    <w:rsid w:val="00AE3699"/>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AE3699"/>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AE3699"/>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AE3699"/>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AE3699"/>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AE3699"/>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AE3699"/>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AE3699"/>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E3699"/>
    <w:pPr>
      <w:ind w:left="3085"/>
    </w:pPr>
  </w:style>
  <w:style w:type="paragraph" w:customStyle="1" w:styleId="ZLITCYTzmcytatunpprzysigiliter">
    <w:name w:val="Z_LIT/CYT – zm. cytatu np. przysięgi literą"/>
    <w:basedOn w:val="ZCYTzmcytatunpprzysigiartykuempunktem"/>
    <w:uiPriority w:val="53"/>
    <w:qFormat/>
    <w:rsid w:val="00AE3699"/>
    <w:pPr>
      <w:ind w:left="1497"/>
    </w:pPr>
  </w:style>
  <w:style w:type="paragraph" w:customStyle="1" w:styleId="ZTIRCYTzmcytatunpprzysigitiret">
    <w:name w:val="Z_TIR/CYT – zm. cytatu np. przysięgi tiret"/>
    <w:basedOn w:val="ZLITCYTzmcytatunpprzysigiliter"/>
    <w:next w:val="ZTIRUSTzmusttiret"/>
    <w:uiPriority w:val="61"/>
    <w:qFormat/>
    <w:rsid w:val="00AE3699"/>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E3699"/>
    <w:pPr>
      <w:ind w:left="2291"/>
    </w:pPr>
  </w:style>
  <w:style w:type="paragraph" w:customStyle="1" w:styleId="ZZCYTzmianazmcytatunpprzysigi">
    <w:name w:val="ZZ/CYT – zmiana zm. cytatu np. przysięgi"/>
    <w:basedOn w:val="ZZFRAGzmianazmfragmentunpzdania"/>
    <w:next w:val="ZZUSTzmianazmust"/>
    <w:uiPriority w:val="71"/>
    <w:qFormat/>
    <w:rsid w:val="00AE3699"/>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E3699"/>
    <w:pPr>
      <w:ind w:left="1780"/>
    </w:pPr>
  </w:style>
  <w:style w:type="table" w:styleId="Tabela-Siatka">
    <w:name w:val="Table Grid"/>
    <w:basedOn w:val="Standardowy"/>
    <w:rsid w:val="00AE3699"/>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AE3699"/>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AE3699"/>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AE3699"/>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AE3699"/>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AE3699"/>
    <w:rPr>
      <w:color w:val="808080"/>
    </w:rPr>
  </w:style>
  <w:style w:type="paragraph" w:styleId="Akapitzlist">
    <w:name w:val="List Paragraph"/>
    <w:basedOn w:val="Normalny"/>
    <w:uiPriority w:val="34"/>
    <w:qFormat/>
    <w:rsid w:val="00AE3699"/>
    <w:pPr>
      <w:ind w:left="720"/>
      <w:contextualSpacing/>
    </w:pPr>
  </w:style>
  <w:style w:type="character" w:styleId="Hipercze">
    <w:name w:val="Hyperlink"/>
    <w:basedOn w:val="Domylnaczcionkaakapitu"/>
    <w:uiPriority w:val="99"/>
    <w:unhideWhenUsed/>
    <w:rsid w:val="00AE3699"/>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rsid w:val="00AE3699"/>
    <w:rPr>
      <w:rFonts w:eastAsiaTheme="minorEastAsia"/>
      <w:sz w:val="20"/>
      <w:szCs w:val="20"/>
    </w:rPr>
  </w:style>
  <w:style w:type="paragraph" w:styleId="Tekstprzypisukocowego">
    <w:name w:val="endnote text"/>
    <w:basedOn w:val="Normalny"/>
    <w:link w:val="TekstprzypisukocowegoZnak"/>
    <w:uiPriority w:val="99"/>
    <w:semiHidden/>
    <w:unhideWhenUsed/>
    <w:rsid w:val="00AE3699"/>
    <w:pPr>
      <w:spacing w:after="0" w:line="240" w:lineRule="auto"/>
    </w:pPr>
    <w:rPr>
      <w:sz w:val="20"/>
      <w:szCs w:val="20"/>
      <w:lang w:eastAsia="en-US"/>
    </w:rPr>
  </w:style>
  <w:style w:type="character" w:customStyle="1" w:styleId="TekstprzypisukocowegoZnak1">
    <w:name w:val="Tekst przypisu końcowego Znak1"/>
    <w:basedOn w:val="Domylnaczcionkaakapitu"/>
    <w:uiPriority w:val="99"/>
    <w:semiHidden/>
    <w:rsid w:val="00AE3699"/>
    <w:rPr>
      <w:rFonts w:eastAsiaTheme="minorEastAsia"/>
      <w:sz w:val="20"/>
      <w:szCs w:val="20"/>
      <w:lang w:eastAsia="pl-PL"/>
    </w:rPr>
  </w:style>
  <w:style w:type="paragraph" w:styleId="Poprawka">
    <w:name w:val="Revision"/>
    <w:hidden/>
    <w:uiPriority w:val="99"/>
    <w:semiHidden/>
    <w:rsid w:val="00AE3699"/>
    <w:pPr>
      <w:spacing w:after="0" w:line="240" w:lineRule="auto"/>
    </w:pPr>
    <w:rPr>
      <w:rFonts w:eastAsiaTheme="minorEastAsia"/>
      <w:lang w:eastAsia="pl-PL"/>
    </w:rPr>
  </w:style>
  <w:style w:type="character" w:styleId="Uwydatnienie">
    <w:name w:val="Emphasis"/>
    <w:basedOn w:val="Domylnaczcionkaakapitu"/>
    <w:uiPriority w:val="20"/>
    <w:qFormat/>
    <w:rsid w:val="00AE3699"/>
    <w:rPr>
      <w:i/>
      <w:iCs/>
    </w:rPr>
  </w:style>
  <w:style w:type="character" w:customStyle="1" w:styleId="Nierozpoznanawzmianka1">
    <w:name w:val="Nierozpoznana wzmianka1"/>
    <w:basedOn w:val="Domylnaczcionkaakapitu"/>
    <w:uiPriority w:val="99"/>
    <w:semiHidden/>
    <w:unhideWhenUsed/>
    <w:rsid w:val="00AE3699"/>
    <w:rPr>
      <w:color w:val="605E5C"/>
      <w:shd w:val="clear" w:color="auto" w:fill="E1DFDD"/>
    </w:rPr>
  </w:style>
  <w:style w:type="character" w:styleId="UyteHipercze">
    <w:name w:val="FollowedHyperlink"/>
    <w:basedOn w:val="Domylnaczcionkaakapitu"/>
    <w:uiPriority w:val="99"/>
    <w:semiHidden/>
    <w:unhideWhenUsed/>
    <w:rsid w:val="00AE3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aydoobsgyzdsltqmfyc4mrzgu4timzwg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galis.pl/document-view.seam?documentId=mfrxilrtgmydsmzsgq2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aydoobsgyzd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ip.legalis.pl/document-view.seam?documentId=mfrxilrtgaydoobsgyzdsltqmfyc4mzuhe3dinz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7711</Words>
  <Characters>46268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cp:revision>
  <dcterms:created xsi:type="dcterms:W3CDTF">2022-04-13T06:36:00Z</dcterms:created>
  <dcterms:modified xsi:type="dcterms:W3CDTF">2022-04-13T06:36:00Z</dcterms:modified>
</cp:coreProperties>
</file>